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1F960E65" w14:textId="6829ACF2" w:rsidR="00D7522C" w:rsidRPr="00337B7B" w:rsidRDefault="00337B7B" w:rsidP="00337B7B">
      <w:pPr>
        <w:pStyle w:val="papertitle"/>
        <w:spacing w:before="5pt" w:beforeAutospacing="1" w:after="5pt" w:afterAutospacing="1"/>
        <w:rPr>
          <w:kern w:val="48"/>
          <w:lang w:bidi="fa-IR"/>
        </w:rPr>
        <w:sectPr w:rsidR="00D7522C" w:rsidRPr="00337B7B" w:rsidSect="003B4E04">
          <w:footerReference w:type="first" r:id="rId8"/>
          <w:pgSz w:w="595.30pt" w:h="841.90pt" w:code="9"/>
          <w:pgMar w:top="27pt" w:right="44.65pt" w:bottom="72pt" w:left="44.65pt" w:header="36pt" w:footer="36pt" w:gutter="0pt"/>
          <w:cols w:space="36pt"/>
          <w:titlePg/>
          <w:docGrid w:linePitch="360"/>
        </w:sectPr>
      </w:pPr>
      <w:r w:rsidRPr="00337B7B">
        <w:rPr>
          <w:kern w:val="48"/>
        </w:rPr>
        <w:t>Graphene-</w:t>
      </w:r>
      <w:r>
        <w:rPr>
          <w:kern w:val="48"/>
        </w:rPr>
        <w:t>B</w:t>
      </w:r>
      <w:r w:rsidRPr="00337B7B">
        <w:rPr>
          <w:kern w:val="48"/>
        </w:rPr>
        <w:t xml:space="preserve">ased </w:t>
      </w:r>
      <w:r>
        <w:rPr>
          <w:kern w:val="48"/>
        </w:rPr>
        <w:t>N</w:t>
      </w:r>
      <w:r w:rsidRPr="00337B7B">
        <w:rPr>
          <w:kern w:val="48"/>
        </w:rPr>
        <w:t>arrow</w:t>
      </w:r>
      <w:r>
        <w:rPr>
          <w:kern w:val="48"/>
        </w:rPr>
        <w:t xml:space="preserve"> B</w:t>
      </w:r>
      <w:r w:rsidRPr="00337B7B">
        <w:rPr>
          <w:kern w:val="48"/>
        </w:rPr>
        <w:t xml:space="preserve">and </w:t>
      </w:r>
      <w:r>
        <w:rPr>
          <w:kern w:val="48"/>
        </w:rPr>
        <w:t>A</w:t>
      </w:r>
      <w:r w:rsidRPr="00337B7B">
        <w:rPr>
          <w:kern w:val="48"/>
        </w:rPr>
        <w:t>bsorber</w:t>
      </w:r>
      <w:r w:rsidR="00D554F3">
        <w:rPr>
          <w:kern w:val="48"/>
        </w:rPr>
        <w:t xml:space="preserve"> fo</w:t>
      </w:r>
      <w:r w:rsidR="007E0B89">
        <w:rPr>
          <w:kern w:val="48"/>
        </w:rPr>
        <w:t>r Sensing Application</w:t>
      </w:r>
    </w:p>
    <w:p w14:paraId="5AB2FE26" w14:textId="5A1059E3" w:rsidR="00BD670B" w:rsidRPr="002414CC" w:rsidRDefault="005858C1" w:rsidP="00BD670B">
      <w:pPr>
        <w:pStyle w:val="Author"/>
        <w:spacing w:before="5pt" w:beforeAutospacing="1"/>
        <w:rPr>
          <w:sz w:val="18"/>
          <w:szCs w:val="18"/>
        </w:rPr>
      </w:pPr>
      <w:r w:rsidRPr="002414CC">
        <w:rPr>
          <w:rFonts w:asciiTheme="majorBidi" w:hAnsiTheme="majorBidi" w:cstheme="majorBidi"/>
          <w:sz w:val="18"/>
          <w:szCs w:val="18"/>
        </w:rPr>
        <w:t>Aliakbar Dastranj</w:t>
      </w:r>
      <w:r w:rsidR="001A3B3D" w:rsidRPr="002414CC">
        <w:rPr>
          <w:sz w:val="18"/>
          <w:szCs w:val="18"/>
        </w:rPr>
        <w:br/>
      </w:r>
      <w:r w:rsidRPr="002414CC">
        <w:rPr>
          <w:rFonts w:asciiTheme="majorBidi" w:hAnsiTheme="majorBidi" w:cstheme="majorBidi"/>
          <w:sz w:val="18"/>
          <w:szCs w:val="18"/>
        </w:rPr>
        <w:t>Electrical Engineering Department</w:t>
      </w:r>
      <w:r w:rsidR="00D72D06" w:rsidRPr="002414CC">
        <w:rPr>
          <w:sz w:val="18"/>
          <w:szCs w:val="18"/>
        </w:rPr>
        <w:br/>
      </w:r>
      <w:r w:rsidRPr="002414CC">
        <w:rPr>
          <w:rFonts w:asciiTheme="majorBidi" w:hAnsiTheme="majorBidi" w:cstheme="majorBidi"/>
          <w:sz w:val="18"/>
          <w:szCs w:val="18"/>
        </w:rPr>
        <w:t>Yasouj University</w:t>
      </w:r>
      <w:r w:rsidR="001A3B3D" w:rsidRPr="002414CC">
        <w:rPr>
          <w:i/>
          <w:sz w:val="18"/>
          <w:szCs w:val="18"/>
        </w:rPr>
        <w:br/>
      </w:r>
      <w:r w:rsidRPr="002414CC">
        <w:rPr>
          <w:rFonts w:asciiTheme="majorBidi" w:hAnsiTheme="majorBidi" w:cstheme="majorBidi"/>
          <w:sz w:val="18"/>
          <w:szCs w:val="18"/>
        </w:rPr>
        <w:t>Yasouj</w:t>
      </w:r>
      <w:r w:rsidR="009303D9" w:rsidRPr="002414CC">
        <w:rPr>
          <w:sz w:val="18"/>
          <w:szCs w:val="18"/>
        </w:rPr>
        <w:t xml:space="preserve">, </w:t>
      </w:r>
      <w:r w:rsidRPr="002414CC">
        <w:rPr>
          <w:rFonts w:asciiTheme="majorBidi" w:hAnsiTheme="majorBidi" w:cstheme="majorBidi"/>
          <w:sz w:val="18"/>
          <w:szCs w:val="18"/>
        </w:rPr>
        <w:t>Iran</w:t>
      </w:r>
      <w:r w:rsidR="001A3B3D" w:rsidRPr="002414CC">
        <w:rPr>
          <w:sz w:val="18"/>
          <w:szCs w:val="18"/>
        </w:rPr>
        <w:br/>
      </w:r>
      <w:r w:rsidR="002414CC" w:rsidRPr="002414CC">
        <w:rPr>
          <w:sz w:val="18"/>
          <w:szCs w:val="18"/>
        </w:rPr>
        <w:t>Email</w:t>
      </w:r>
      <w:r w:rsidR="009B14BB" w:rsidRPr="002414CC">
        <w:rPr>
          <w:sz w:val="18"/>
          <w:szCs w:val="18"/>
        </w:rPr>
        <w:t>:</w:t>
      </w:r>
      <w:r w:rsidR="001E5721" w:rsidRPr="002414CC">
        <w:rPr>
          <w:sz w:val="18"/>
          <w:szCs w:val="18"/>
        </w:rPr>
        <w:t xml:space="preserve"> </w:t>
      </w:r>
      <w:hyperlink r:id="rId9" w:history="1">
        <w:r w:rsidR="001E5721" w:rsidRPr="002414CC">
          <w:rPr>
            <w:rStyle w:val="Hyperlink"/>
            <w:rFonts w:asciiTheme="majorBidi" w:hAnsiTheme="majorBidi" w:cstheme="majorBidi"/>
            <w:sz w:val="18"/>
            <w:szCs w:val="18"/>
          </w:rPr>
          <w:t>dastranj@yu.ac.ir</w:t>
        </w:r>
      </w:hyperlink>
    </w:p>
    <w:p w14:paraId="08EC3DE4" w14:textId="6140C443" w:rsidR="001E5721" w:rsidRPr="002414CC" w:rsidRDefault="003F3021" w:rsidP="001E5721">
      <w:pPr>
        <w:pStyle w:val="Author"/>
        <w:spacing w:before="5pt" w:beforeAutospacing="1"/>
        <w:rPr>
          <w:rFonts w:asciiTheme="majorBidi" w:hAnsiTheme="majorBidi" w:cstheme="majorBidi"/>
          <w:color w:val="000000" w:themeColor="text1"/>
          <w:sz w:val="18"/>
          <w:szCs w:val="18"/>
        </w:rPr>
      </w:pPr>
      <w:r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Ling Shing Wong</w:t>
      </w:r>
      <w:r w:rsidR="00447BB9" w:rsidRPr="002414CC">
        <w:rPr>
          <w:sz w:val="18"/>
          <w:szCs w:val="18"/>
        </w:rPr>
        <w:br/>
      </w:r>
      <w:r w:rsidR="001E57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Faculty of Health and Life Sciences INTI -IU University</w:t>
      </w:r>
      <w:r w:rsidR="001E5721" w:rsidRPr="002414CC">
        <w:rPr>
          <w:i/>
          <w:sz w:val="18"/>
          <w:szCs w:val="18"/>
        </w:rPr>
        <w:br/>
      </w:r>
      <w:r w:rsidR="001E57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Nilai, Malaysia;</w:t>
      </w:r>
    </w:p>
    <w:p w14:paraId="18DA3D2D" w14:textId="77777777" w:rsidR="002414CC" w:rsidRDefault="001F1397" w:rsidP="001E5721">
      <w:pPr>
        <w:pStyle w:val="Author"/>
        <w:spacing w:before="0pt"/>
        <w:rPr>
          <w:sz w:val="18"/>
          <w:szCs w:val="18"/>
        </w:rPr>
      </w:pPr>
      <w:r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Faculty of Nursing</w:t>
      </w:r>
    </w:p>
    <w:p w14:paraId="1FCCE042" w14:textId="50A2AE60" w:rsidR="001A3B3D" w:rsidRPr="002414CC" w:rsidRDefault="003F3021" w:rsidP="001E5721">
      <w:pPr>
        <w:pStyle w:val="Author"/>
        <w:spacing w:before="0pt"/>
        <w:rPr>
          <w:rFonts w:asciiTheme="majorBidi" w:hAnsiTheme="majorBidi" w:cstheme="majorBidi"/>
          <w:color w:val="000000" w:themeColor="text1"/>
          <w:sz w:val="18"/>
          <w:szCs w:val="18"/>
        </w:rPr>
      </w:pPr>
      <w:r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Shinawatra</w:t>
      </w:r>
      <w:r w:rsidR="009B14BB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 xml:space="preserve"> </w:t>
      </w:r>
      <w:r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University</w:t>
      </w:r>
      <w:r w:rsidR="00447BB9" w:rsidRPr="002414CC">
        <w:rPr>
          <w:i/>
          <w:sz w:val="18"/>
          <w:szCs w:val="18"/>
        </w:rPr>
        <w:br/>
      </w:r>
      <w:r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Pathum Thani</w:t>
      </w:r>
      <w:r w:rsidR="00447BB9" w:rsidRPr="002414CC">
        <w:rPr>
          <w:sz w:val="18"/>
          <w:szCs w:val="18"/>
        </w:rPr>
        <w:t>,</w:t>
      </w:r>
      <w:r w:rsidRPr="002414CC">
        <w:rPr>
          <w:sz w:val="18"/>
          <w:szCs w:val="18"/>
        </w:rPr>
        <w:t xml:space="preserve"> </w:t>
      </w:r>
      <w:r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Thailand</w:t>
      </w:r>
      <w:r w:rsidR="00447BB9" w:rsidRPr="002414CC">
        <w:rPr>
          <w:sz w:val="18"/>
          <w:szCs w:val="18"/>
        </w:rPr>
        <w:br/>
      </w:r>
      <w:r w:rsidR="002414CC" w:rsidRPr="002414CC">
        <w:rPr>
          <w:sz w:val="18"/>
          <w:szCs w:val="18"/>
        </w:rPr>
        <w:t>Email</w:t>
      </w:r>
      <w:r w:rsidR="001E57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 xml:space="preserve">: </w:t>
      </w:r>
      <w:r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lingshing.wong@newinti.edu.my</w:t>
      </w:r>
      <w:r w:rsidRPr="001E5721">
        <w:rPr>
          <w:sz w:val="18"/>
          <w:szCs w:val="18"/>
        </w:rPr>
        <w:t xml:space="preserve"> </w:t>
      </w:r>
      <w:r w:rsidR="00BD670B" w:rsidRPr="003F3021">
        <w:rPr>
          <w:sz w:val="18"/>
          <w:szCs w:val="18"/>
        </w:rPr>
        <w:br w:type="column"/>
      </w:r>
      <w:r w:rsidR="007E189A" w:rsidRPr="002414CC">
        <w:rPr>
          <w:rFonts w:asciiTheme="majorBidi" w:hAnsiTheme="majorBidi" w:cstheme="majorBidi"/>
          <w:sz w:val="18"/>
          <w:szCs w:val="18"/>
        </w:rPr>
        <w:t>Saman Heidari</w:t>
      </w:r>
      <w:r w:rsidR="001A3B3D" w:rsidRPr="002414CC">
        <w:rPr>
          <w:sz w:val="18"/>
          <w:szCs w:val="18"/>
        </w:rPr>
        <w:br/>
      </w:r>
      <w:r w:rsidR="007E189A" w:rsidRPr="002414CC">
        <w:rPr>
          <w:rFonts w:asciiTheme="majorBidi" w:hAnsiTheme="majorBidi" w:cstheme="majorBidi"/>
          <w:sz w:val="18"/>
          <w:szCs w:val="18"/>
        </w:rPr>
        <w:t>Electrical Engineering Department</w:t>
      </w:r>
      <w:r w:rsidR="007E189A" w:rsidRPr="002414CC">
        <w:rPr>
          <w:sz w:val="18"/>
          <w:szCs w:val="18"/>
        </w:rPr>
        <w:br/>
      </w:r>
      <w:r w:rsidR="007E189A" w:rsidRPr="002414CC">
        <w:rPr>
          <w:rFonts w:asciiTheme="majorBidi" w:hAnsiTheme="majorBidi" w:cstheme="majorBidi"/>
          <w:sz w:val="18"/>
          <w:szCs w:val="18"/>
        </w:rPr>
        <w:t>Yasouj University</w:t>
      </w:r>
      <w:r w:rsidR="007E189A" w:rsidRPr="002414CC">
        <w:rPr>
          <w:i/>
          <w:sz w:val="18"/>
          <w:szCs w:val="18"/>
        </w:rPr>
        <w:br/>
      </w:r>
      <w:r w:rsidR="007E189A" w:rsidRPr="002414CC">
        <w:rPr>
          <w:rFonts w:asciiTheme="majorBidi" w:hAnsiTheme="majorBidi" w:cstheme="majorBidi"/>
          <w:sz w:val="18"/>
          <w:szCs w:val="18"/>
        </w:rPr>
        <w:t>Yasouj</w:t>
      </w:r>
      <w:r w:rsidR="007E189A" w:rsidRPr="002414CC">
        <w:rPr>
          <w:sz w:val="18"/>
          <w:szCs w:val="18"/>
        </w:rPr>
        <w:t xml:space="preserve">, </w:t>
      </w:r>
      <w:r w:rsidR="007E189A" w:rsidRPr="002414CC">
        <w:rPr>
          <w:rFonts w:asciiTheme="majorBidi" w:hAnsiTheme="majorBidi" w:cstheme="majorBidi"/>
          <w:sz w:val="18"/>
          <w:szCs w:val="18"/>
        </w:rPr>
        <w:t>Iran</w:t>
      </w:r>
      <w:r w:rsidR="007E189A" w:rsidRPr="002414CC">
        <w:rPr>
          <w:sz w:val="18"/>
          <w:szCs w:val="18"/>
        </w:rPr>
        <w:br/>
      </w:r>
      <w:r w:rsidR="002414CC" w:rsidRPr="002414CC">
        <w:rPr>
          <w:sz w:val="18"/>
          <w:szCs w:val="18"/>
        </w:rPr>
        <w:t>Email</w:t>
      </w:r>
      <w:r w:rsidR="001E5721" w:rsidRPr="002414CC">
        <w:rPr>
          <w:rStyle w:val="Hyperlink"/>
          <w:rFonts w:asciiTheme="majorBidi" w:hAnsiTheme="majorBidi" w:cstheme="majorBidi"/>
          <w:color w:val="auto"/>
          <w:sz w:val="18"/>
          <w:szCs w:val="18"/>
          <w:u w:val="none"/>
        </w:rPr>
        <w:t>:</w:t>
      </w:r>
      <w:r w:rsidR="002414CC" w:rsidRPr="002414CC">
        <w:rPr>
          <w:rStyle w:val="Hyperlink"/>
          <w:rFonts w:asciiTheme="majorBidi" w:hAnsiTheme="majorBidi" w:cstheme="majorBidi"/>
          <w:color w:val="auto"/>
          <w:sz w:val="18"/>
          <w:szCs w:val="18"/>
          <w:u w:val="none"/>
        </w:rPr>
        <w:t xml:space="preserve"> </w:t>
      </w:r>
      <w:r w:rsidR="001F1397" w:rsidRPr="002414CC">
        <w:rPr>
          <w:rStyle w:val="Hyperlink"/>
          <w:rFonts w:asciiTheme="majorBidi" w:hAnsiTheme="majorBidi" w:cstheme="majorBidi"/>
          <w:color w:val="auto"/>
          <w:sz w:val="18"/>
          <w:szCs w:val="18"/>
          <w:u w:val="none"/>
        </w:rPr>
        <w:t>saman.heidari@stu.yu.ac.ir</w:t>
      </w:r>
    </w:p>
    <w:p w14:paraId="11C3FF66" w14:textId="4A586DD7" w:rsidR="001A3B3D" w:rsidRPr="002414CC" w:rsidRDefault="00BD670B" w:rsidP="007E189A">
      <w:pPr>
        <w:pStyle w:val="Author"/>
        <w:spacing w:before="0pt"/>
        <w:rPr>
          <w:sz w:val="18"/>
          <w:szCs w:val="18"/>
        </w:rPr>
      </w:pPr>
      <w:r w:rsidRPr="001E5721">
        <w:rPr>
          <w:sz w:val="18"/>
          <w:szCs w:val="18"/>
        </w:rPr>
        <w:br w:type="column"/>
      </w:r>
      <w:r w:rsidR="003F30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Ayman Amer</w:t>
      </w:r>
      <w:r w:rsidR="001A3B3D" w:rsidRPr="002414CC">
        <w:rPr>
          <w:sz w:val="18"/>
          <w:szCs w:val="18"/>
        </w:rPr>
        <w:br/>
      </w:r>
      <w:r w:rsidR="003F30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Faculty of Engineering</w:t>
      </w:r>
      <w:r w:rsidR="001A3B3D" w:rsidRPr="002414CC">
        <w:rPr>
          <w:sz w:val="18"/>
          <w:szCs w:val="18"/>
        </w:rPr>
        <w:br/>
      </w:r>
      <w:r w:rsidR="003F30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Zarqa Univeristy</w:t>
      </w:r>
      <w:r w:rsidR="001A3B3D" w:rsidRPr="002414CC">
        <w:rPr>
          <w:i/>
          <w:sz w:val="18"/>
          <w:szCs w:val="18"/>
        </w:rPr>
        <w:br/>
      </w:r>
      <w:r w:rsidR="003F30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Zarqa</w:t>
      </w:r>
      <w:r w:rsidR="001A3B3D" w:rsidRPr="002414CC">
        <w:rPr>
          <w:sz w:val="18"/>
          <w:szCs w:val="18"/>
        </w:rPr>
        <w:t xml:space="preserve">, </w:t>
      </w:r>
      <w:r w:rsidR="003F30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Jordan</w:t>
      </w:r>
      <w:r w:rsidR="001A3B3D" w:rsidRPr="002414CC">
        <w:rPr>
          <w:sz w:val="18"/>
          <w:szCs w:val="18"/>
        </w:rPr>
        <w:br/>
      </w:r>
      <w:r w:rsidR="002414CC" w:rsidRPr="002414CC">
        <w:rPr>
          <w:sz w:val="18"/>
          <w:szCs w:val="18"/>
        </w:rPr>
        <w:t>Email</w:t>
      </w:r>
      <w:r w:rsidR="001E57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: a</w:t>
      </w:r>
      <w:r w:rsidR="003F3021" w:rsidRPr="002414CC">
        <w:rPr>
          <w:rFonts w:asciiTheme="majorBidi" w:hAnsiTheme="majorBidi" w:cstheme="majorBidi"/>
          <w:color w:val="000000" w:themeColor="text1"/>
          <w:sz w:val="18"/>
          <w:szCs w:val="18"/>
        </w:rPr>
        <w:t>amer@zu.edu.jo</w:t>
      </w:r>
    </w:p>
    <w:p w14:paraId="0316535E" w14:textId="77777777" w:rsidR="009F1D79" w:rsidRDefault="009F1D79">
      <w:pPr>
        <w:sectPr w:rsidR="009F1D79" w:rsidSect="003B4E04">
          <w:type w:val="continuous"/>
          <w:pgSz w:w="595.30pt" w:h="841.90pt" w:code="9"/>
          <w:pgMar w:top="22.50pt" w:right="44.65pt" w:bottom="72pt" w:left="44.65pt" w:header="36pt" w:footer="36pt" w:gutter="0pt"/>
          <w:cols w:num="3" w:space="36pt"/>
          <w:docGrid w:linePitch="360"/>
        </w:sectPr>
      </w:pPr>
    </w:p>
    <w:p w14:paraId="0A88E65D" w14:textId="77777777" w:rsidR="009303D9" w:rsidRPr="005B520E" w:rsidRDefault="00BD670B">
      <w:pPr>
        <w:sectPr w:rsidR="009303D9" w:rsidRPr="005B520E" w:rsidSect="003B4E04">
          <w:type w:val="continuous"/>
          <w:pgSz w:w="595.30pt" w:h="841.90pt" w:code="9"/>
          <w:pgMar w:top="22.50pt" w:right="44.65pt" w:bottom="72pt" w:left="44.65pt" w:header="36pt" w:footer="36pt" w:gutter="0pt"/>
          <w:cols w:num="3" w:space="36pt"/>
          <w:docGrid w:linePitch="360"/>
        </w:sectPr>
      </w:pPr>
      <w:r>
        <w:br w:type="column"/>
      </w:r>
    </w:p>
    <w:p w14:paraId="448739C7" w14:textId="79AE41E5" w:rsidR="00337B7B" w:rsidRDefault="009303D9" w:rsidP="00343D30">
      <w:pPr>
        <w:pStyle w:val="Abstract"/>
        <w:rPr>
          <w:rtl/>
          <w:lang w:bidi="fa-IR"/>
        </w:rPr>
      </w:pPr>
      <w:r w:rsidRPr="00337B7B">
        <w:rPr>
          <w:i/>
          <w:iCs/>
        </w:rPr>
        <w:t>Abstract</w:t>
      </w:r>
      <w:r w:rsidRPr="00337B7B">
        <w:t>—</w:t>
      </w:r>
      <w:r w:rsidR="00343D30" w:rsidRPr="00343D30">
        <w:t>In this paper, a graphene-based narrow band absorber with sensing application in the far infrared band</w:t>
      </w:r>
      <w:r w:rsidR="00343D30">
        <w:t xml:space="preserve"> has been </w:t>
      </w:r>
      <w:r w:rsidR="00343D30" w:rsidRPr="00343D30">
        <w:t>presented.</w:t>
      </w:r>
      <w:r w:rsidR="00343D30">
        <w:t xml:space="preserve"> </w:t>
      </w:r>
      <w:r w:rsidR="00343D30" w:rsidRPr="00343D30">
        <w:t xml:space="preserve">The proposed structure has an absorption of 1 and also high sensitivity </w:t>
      </w:r>
      <w:r w:rsidR="00343D30">
        <w:t>has been</w:t>
      </w:r>
      <w:r w:rsidR="00343D30" w:rsidRPr="00343D30">
        <w:t xml:space="preserve"> achieved by changing the refractive index of the surrounding medium.</w:t>
      </w:r>
      <w:r w:rsidR="00343D30">
        <w:t xml:space="preserve"> </w:t>
      </w:r>
      <w:r w:rsidR="00343D30" w:rsidRPr="00343D30">
        <w:t>The effect of important geometric</w:t>
      </w:r>
      <w:r w:rsidR="00BF6A37">
        <w:t>al</w:t>
      </w:r>
      <w:r w:rsidR="00343D30" w:rsidRPr="00343D30">
        <w:t xml:space="preserve"> parameters and the chemical potential and relaxation time of graphene on the performance of the designed absorber </w:t>
      </w:r>
      <w:r w:rsidR="00343D30">
        <w:t>has been</w:t>
      </w:r>
      <w:r w:rsidR="00343D30" w:rsidRPr="00343D30">
        <w:t xml:space="preserve"> shown.</w:t>
      </w:r>
    </w:p>
    <w:p w14:paraId="58B10678" w14:textId="117DF724" w:rsidR="009303D9" w:rsidRPr="004D72B5" w:rsidRDefault="004D72B5" w:rsidP="00972203">
      <w:pPr>
        <w:pStyle w:val="Keywords"/>
      </w:pPr>
      <w:r w:rsidRPr="007C2014">
        <w:t>Keywords—</w:t>
      </w:r>
      <w:r w:rsidR="00FA6796" w:rsidRPr="007C2014">
        <w:t>a</w:t>
      </w:r>
      <w:r w:rsidR="003F7CAF" w:rsidRPr="007C2014">
        <w:t>bsorber, graphene, plasmonic, narrow</w:t>
      </w:r>
      <w:r w:rsidR="009702E5" w:rsidRPr="007C2014">
        <w:t xml:space="preserve"> </w:t>
      </w:r>
      <w:r w:rsidR="003F7CAF" w:rsidRPr="007C2014">
        <w:t>band, sensor</w:t>
      </w:r>
      <w:r w:rsidR="00FA6796" w:rsidRPr="007C2014">
        <w:t>.</w:t>
      </w:r>
    </w:p>
    <w:p w14:paraId="1A521F3C" w14:textId="233FDFD8" w:rsidR="009303D9" w:rsidRPr="00D632BE" w:rsidRDefault="009303D9" w:rsidP="006B6B66">
      <w:pPr>
        <w:pStyle w:val="Heading1"/>
      </w:pPr>
      <w:r w:rsidRPr="00D632BE">
        <w:t>Introduction</w:t>
      </w:r>
    </w:p>
    <w:p w14:paraId="72F9FE21" w14:textId="569043AF" w:rsidR="00382A30" w:rsidRDefault="00F34CB1" w:rsidP="00F34CB1">
      <w:pPr>
        <w:pStyle w:val="BodyText"/>
        <w:ind w:firstLine="14.45pt"/>
        <w:rPr>
          <w:lang w:val="en-US" w:bidi="fa-IR"/>
        </w:rPr>
      </w:pPr>
      <w:r w:rsidRPr="00F34CB1">
        <w:t>Surface plasmons</w:t>
      </w:r>
      <w:r>
        <w:rPr>
          <w:lang w:val="en-US"/>
        </w:rPr>
        <w:t xml:space="preserve"> </w:t>
      </w:r>
      <w:r w:rsidRPr="007C2014">
        <w:rPr>
          <w:lang w:val="en-US" w:bidi="fa-IR"/>
        </w:rPr>
        <w:t>(SPs)</w:t>
      </w:r>
      <w:r>
        <w:rPr>
          <w:lang w:val="en-US" w:bidi="fa-IR"/>
        </w:rPr>
        <w:t xml:space="preserve"> </w:t>
      </w:r>
      <w:r w:rsidRPr="00F34CB1">
        <w:t>can be defined as electromagnetic waves that propagate at the boundary between</w:t>
      </w:r>
      <w:r w:rsidR="00BF6A37">
        <w:rPr>
          <w:lang w:val="en-US"/>
        </w:rPr>
        <w:t xml:space="preserve"> </w:t>
      </w:r>
      <w:r w:rsidRPr="00F34CB1">
        <w:t>conductor and</w:t>
      </w:r>
      <w:r w:rsidR="00BF6A37">
        <w:rPr>
          <w:lang w:val="en-US"/>
        </w:rPr>
        <w:t xml:space="preserve"> </w:t>
      </w:r>
      <w:r w:rsidRPr="00F34CB1">
        <w:t>insulator.</w:t>
      </w:r>
      <w:r>
        <w:rPr>
          <w:lang w:val="en-US"/>
        </w:rPr>
        <w:t xml:space="preserve"> </w:t>
      </w:r>
      <w:r w:rsidRPr="00F34CB1">
        <w:rPr>
          <w:lang w:val="en-US"/>
        </w:rPr>
        <w:t>Local surface plasmons</w:t>
      </w:r>
      <w:r>
        <w:rPr>
          <w:lang w:val="en-US"/>
        </w:rPr>
        <w:t xml:space="preserve"> </w:t>
      </w:r>
      <w:r w:rsidRPr="007C2014">
        <w:rPr>
          <w:lang w:val="en-US" w:bidi="fa-IR"/>
        </w:rPr>
        <w:t>(LSPs)</w:t>
      </w:r>
      <w:r>
        <w:rPr>
          <w:lang w:val="en-US" w:bidi="fa-IR"/>
        </w:rPr>
        <w:t xml:space="preserve"> </w:t>
      </w:r>
      <w:r w:rsidRPr="00F34CB1">
        <w:rPr>
          <w:lang w:val="en-US"/>
        </w:rPr>
        <w:t>are the non-emission excitation of electrons on the surface of nanostructures due to the coupling of electromagnetic fields</w:t>
      </w:r>
      <w:r>
        <w:rPr>
          <w:lang w:val="en-US"/>
        </w:rPr>
        <w:t xml:space="preserve"> [1]</w:t>
      </w:r>
      <w:r w:rsidR="0018415D" w:rsidRPr="007C2014">
        <w:rPr>
          <w:lang w:val="en-US" w:bidi="fa-IR"/>
        </w:rPr>
        <w:t>.</w:t>
      </w:r>
      <w:r>
        <w:rPr>
          <w:lang w:val="en-US" w:bidi="fa-IR"/>
        </w:rPr>
        <w:t xml:space="preserve"> </w:t>
      </w:r>
      <w:r w:rsidR="001B3D91" w:rsidRPr="007C2014">
        <w:rPr>
          <w:lang w:val="en-US" w:bidi="fa-IR"/>
        </w:rPr>
        <w:t>Surface plasmon polaritons (SPPs) are excited in the vicinity of insulator with thin metal films and are damped in the direction perpendicular to the surface.</w:t>
      </w:r>
      <w:r w:rsidR="00FB7C46" w:rsidRPr="007C2014">
        <w:rPr>
          <w:lang w:val="en-US" w:bidi="fa-IR"/>
        </w:rPr>
        <w:t xml:space="preserve"> Excitation of LSP</w:t>
      </w:r>
      <w:r w:rsidR="000E3B8B" w:rsidRPr="007C2014">
        <w:rPr>
          <w:lang w:val="en-US" w:bidi="fa-IR"/>
        </w:rPr>
        <w:t>s</w:t>
      </w:r>
      <w:r w:rsidR="00FB7C46" w:rsidRPr="007C2014">
        <w:rPr>
          <w:lang w:val="en-US" w:bidi="fa-IR"/>
        </w:rPr>
        <w:t xml:space="preserve"> and SPP</w:t>
      </w:r>
      <w:r w:rsidR="000E3B8B" w:rsidRPr="007C2014">
        <w:rPr>
          <w:lang w:val="en-US" w:bidi="fa-IR"/>
        </w:rPr>
        <w:t>s</w:t>
      </w:r>
      <w:r w:rsidR="00FB7C46" w:rsidRPr="007C2014">
        <w:rPr>
          <w:lang w:val="en-US" w:bidi="fa-IR"/>
        </w:rPr>
        <w:t xml:space="preserve"> leads to enhancement of electromagnetic fields around thin metal films, gratings or nanostructures. </w:t>
      </w:r>
      <w:r w:rsidR="00C9225D" w:rsidRPr="007C2014">
        <w:rPr>
          <w:lang w:val="en-US" w:bidi="fa-IR"/>
        </w:rPr>
        <w:t>The wavelengths in which LSP and SPP are excited</w:t>
      </w:r>
      <w:r w:rsidR="000E3B8B" w:rsidRPr="007C2014">
        <w:rPr>
          <w:lang w:val="en-US" w:bidi="fa-IR"/>
        </w:rPr>
        <w:t xml:space="preserve">, </w:t>
      </w:r>
      <w:r w:rsidR="00C9225D" w:rsidRPr="007C2014">
        <w:rPr>
          <w:lang w:val="en-US" w:bidi="fa-IR"/>
        </w:rPr>
        <w:t>are sensitive to the geometric</w:t>
      </w:r>
      <w:r w:rsidR="00BF6A37">
        <w:rPr>
          <w:lang w:val="en-US" w:bidi="fa-IR"/>
        </w:rPr>
        <w:t>al</w:t>
      </w:r>
      <w:r w:rsidR="00C9225D" w:rsidRPr="007C2014">
        <w:rPr>
          <w:lang w:val="en-US" w:bidi="fa-IR"/>
        </w:rPr>
        <w:t xml:space="preserve"> parameters of the plasmonic structures</w:t>
      </w:r>
      <w:r w:rsidR="00AA7E47" w:rsidRPr="007C2014">
        <w:rPr>
          <w:lang w:val="en-US" w:bidi="fa-IR"/>
        </w:rPr>
        <w:t xml:space="preserve"> [</w:t>
      </w:r>
      <w:r w:rsidR="005E7B28" w:rsidRPr="007C2014">
        <w:rPr>
          <w:lang w:val="en-US" w:bidi="fa-IR"/>
        </w:rPr>
        <w:t>2-</w:t>
      </w:r>
      <w:r w:rsidR="00171878" w:rsidRPr="007C2014">
        <w:rPr>
          <w:lang w:val="en-US" w:bidi="fa-IR"/>
        </w:rPr>
        <w:t>4</w:t>
      </w:r>
      <w:r w:rsidR="00AA7E47" w:rsidRPr="007C2014">
        <w:rPr>
          <w:lang w:val="en-US" w:bidi="fa-IR"/>
        </w:rPr>
        <w:t>]</w:t>
      </w:r>
      <w:r w:rsidR="00C9225D" w:rsidRPr="007C2014">
        <w:rPr>
          <w:lang w:val="en-US" w:bidi="fa-IR"/>
        </w:rPr>
        <w:t>.</w:t>
      </w:r>
    </w:p>
    <w:p w14:paraId="7C113C76" w14:textId="3B800ECF" w:rsidR="006F4A9C" w:rsidRDefault="00143CA4" w:rsidP="006F4A9C">
      <w:pPr>
        <w:pStyle w:val="BodyText"/>
        <w:rPr>
          <w:rtl/>
          <w:lang w:val="en-US" w:bidi="fa-IR"/>
        </w:rPr>
      </w:pPr>
      <w:r w:rsidRPr="00143CA4">
        <w:rPr>
          <w:lang w:val="en-US" w:bidi="fa-IR"/>
        </w:rPr>
        <w:t xml:space="preserve">The operation of graphene-based plasmonic sensors is based on the resonance of </w:t>
      </w:r>
      <w:r w:rsidR="00BF6A37">
        <w:rPr>
          <w:lang w:val="en-US" w:bidi="fa-IR"/>
        </w:rPr>
        <w:t>g</w:t>
      </w:r>
      <w:r w:rsidRPr="00462139">
        <w:rPr>
          <w:lang w:val="en-US" w:bidi="fa-IR"/>
        </w:rPr>
        <w:t>raphene surface plasmon polaritons</w:t>
      </w:r>
      <w:r>
        <w:rPr>
          <w:lang w:val="en-US" w:bidi="fa-IR"/>
        </w:rPr>
        <w:t xml:space="preserve"> (</w:t>
      </w:r>
      <w:r w:rsidRPr="00462139">
        <w:rPr>
          <w:lang w:val="en-US" w:bidi="fa-IR"/>
        </w:rPr>
        <w:t>GSPPs</w:t>
      </w:r>
      <w:r>
        <w:rPr>
          <w:lang w:val="en-US" w:bidi="fa-IR"/>
        </w:rPr>
        <w:t>)</w:t>
      </w:r>
      <w:r w:rsidRPr="00143CA4">
        <w:rPr>
          <w:lang w:val="en-US" w:bidi="fa-IR"/>
        </w:rPr>
        <w:t>, and changing the environment surrounding the sensor changes the operating wavelength of the sensor</w:t>
      </w:r>
      <w:r>
        <w:rPr>
          <w:lang w:val="en-US" w:bidi="fa-IR"/>
        </w:rPr>
        <w:t xml:space="preserve"> </w:t>
      </w:r>
      <w:r w:rsidR="007B71F8" w:rsidRPr="00F02670">
        <w:rPr>
          <w:lang w:val="en-US" w:bidi="fa-IR"/>
        </w:rPr>
        <w:t>[</w:t>
      </w:r>
      <w:r w:rsidR="00524F65" w:rsidRPr="00F02670">
        <w:rPr>
          <w:lang w:val="en-US" w:bidi="fa-IR"/>
        </w:rPr>
        <w:t>5-6</w:t>
      </w:r>
      <w:r w:rsidR="007B71F8" w:rsidRPr="00F02670">
        <w:rPr>
          <w:lang w:val="en-US" w:bidi="fa-IR"/>
        </w:rPr>
        <w:t>].</w:t>
      </w:r>
      <w:r w:rsidR="00EC62A1">
        <w:rPr>
          <w:lang w:val="en-US" w:bidi="fa-IR"/>
        </w:rPr>
        <w:t xml:space="preserve"> </w:t>
      </w:r>
      <w:r w:rsidR="00EC62A1" w:rsidRPr="00EC62A1">
        <w:rPr>
          <w:lang w:val="en-US" w:bidi="fa-IR"/>
        </w:rPr>
        <w:t>Sensors can be used to ensure human health in various industrial environments, which leads to improved human health by reducing health risks and significantly increasing life expectancy</w:t>
      </w:r>
      <w:r w:rsidR="00EC62A1">
        <w:rPr>
          <w:lang w:val="en-US" w:bidi="fa-IR"/>
        </w:rPr>
        <w:t xml:space="preserve"> [7]</w:t>
      </w:r>
      <w:r w:rsidR="00EC62A1" w:rsidRPr="00EC62A1">
        <w:rPr>
          <w:lang w:val="en-US" w:bidi="fa-IR"/>
        </w:rPr>
        <w:t>.</w:t>
      </w:r>
    </w:p>
    <w:p w14:paraId="564AAAC6" w14:textId="5B8FB4FA" w:rsidR="008F4672" w:rsidRDefault="008F4672" w:rsidP="006F4A9C">
      <w:pPr>
        <w:pStyle w:val="BodyText"/>
        <w:rPr>
          <w:lang w:val="en-US"/>
        </w:rPr>
      </w:pPr>
      <w:r w:rsidRPr="008F4672">
        <w:t>Graphene is a single-layer structure with a honeycomb arrangement of carbon atoms, and due to its properties, including tunability, having suitable properties in a wide frequency range, and high carrier velocity, it can be a good option for use in absorbers</w:t>
      </w:r>
      <w:r w:rsidR="005E7B28">
        <w:rPr>
          <w:lang w:val="en-US"/>
        </w:rPr>
        <w:t xml:space="preserve"> [</w:t>
      </w:r>
      <w:r w:rsidR="00EC62A1">
        <w:rPr>
          <w:lang w:val="en-US"/>
        </w:rPr>
        <w:t>8</w:t>
      </w:r>
      <w:r w:rsidR="005E7B28">
        <w:rPr>
          <w:lang w:val="en-US"/>
        </w:rPr>
        <w:t>]</w:t>
      </w:r>
      <w:r w:rsidRPr="008F4672">
        <w:t>.</w:t>
      </w:r>
      <w:r w:rsidR="00F02670">
        <w:rPr>
          <w:lang w:val="en-US"/>
        </w:rPr>
        <w:t xml:space="preserve"> </w:t>
      </w:r>
      <w:r w:rsidR="000E3B8B" w:rsidRPr="000E3B8B">
        <w:rPr>
          <w:lang w:val="en-US"/>
        </w:rPr>
        <w:t>In order to better understand</w:t>
      </w:r>
      <w:r w:rsidR="00C01BFF">
        <w:rPr>
          <w:lang w:val="en-US"/>
        </w:rPr>
        <w:t xml:space="preserve"> of </w:t>
      </w:r>
      <w:r w:rsidR="000E3B8B" w:rsidRPr="000E3B8B">
        <w:rPr>
          <w:lang w:val="en-US"/>
        </w:rPr>
        <w:t xml:space="preserve">graphene, can also be mentioned </w:t>
      </w:r>
      <w:r w:rsidR="000E3B8B">
        <w:rPr>
          <w:lang w:val="en-US"/>
        </w:rPr>
        <w:t xml:space="preserve">to </w:t>
      </w:r>
      <w:r w:rsidR="000E3B8B" w:rsidRPr="000E3B8B">
        <w:rPr>
          <w:lang w:val="en-US"/>
        </w:rPr>
        <w:t xml:space="preserve">its other properties, such as low loss and </w:t>
      </w:r>
      <w:r w:rsidR="00C01BFF" w:rsidRPr="00C01BFF">
        <w:rPr>
          <w:lang w:val="en-US"/>
        </w:rPr>
        <w:t>propagation</w:t>
      </w:r>
      <w:r w:rsidR="00C01BFF">
        <w:rPr>
          <w:lang w:val="en-US"/>
        </w:rPr>
        <w:t xml:space="preserve"> </w:t>
      </w:r>
      <w:r w:rsidR="00C01BFF" w:rsidRPr="00C01BFF">
        <w:rPr>
          <w:lang w:val="en-US"/>
        </w:rPr>
        <w:t>capability</w:t>
      </w:r>
      <w:r w:rsidR="00C01BFF">
        <w:rPr>
          <w:lang w:val="en-US"/>
        </w:rPr>
        <w:t xml:space="preserve"> of</w:t>
      </w:r>
      <w:r w:rsidR="00462139">
        <w:rPr>
          <w:lang w:val="en-US"/>
        </w:rPr>
        <w:t xml:space="preserve"> SPs </w:t>
      </w:r>
      <w:r w:rsidR="00EA41BA">
        <w:rPr>
          <w:lang w:val="en-US"/>
        </w:rPr>
        <w:t>[</w:t>
      </w:r>
      <w:r w:rsidR="00EC62A1">
        <w:rPr>
          <w:lang w:val="en-US"/>
        </w:rPr>
        <w:t>9</w:t>
      </w:r>
      <w:r w:rsidR="009D3610">
        <w:rPr>
          <w:lang w:val="en-US"/>
        </w:rPr>
        <w:t>-</w:t>
      </w:r>
      <w:r w:rsidR="00EC62A1">
        <w:rPr>
          <w:lang w:val="en-US"/>
        </w:rPr>
        <w:t>10</w:t>
      </w:r>
      <w:r w:rsidR="00EA41BA">
        <w:rPr>
          <w:lang w:val="en-US"/>
        </w:rPr>
        <w:t>]</w:t>
      </w:r>
      <w:r w:rsidR="00C01BFF">
        <w:rPr>
          <w:lang w:val="en-US"/>
        </w:rPr>
        <w:t>.</w:t>
      </w:r>
      <w:r w:rsidR="00C069E4">
        <w:rPr>
          <w:lang w:val="en-US"/>
        </w:rPr>
        <w:t xml:space="preserve"> </w:t>
      </w:r>
      <w:r w:rsidR="00C01BFF" w:rsidRPr="00C01BFF">
        <w:rPr>
          <w:lang w:val="en-US"/>
        </w:rPr>
        <w:t>Also, the ability to change the planar conductivity of graphene over a wide frequency range by changing the static electric field or chemical injection has attracted more attention to this material</w:t>
      </w:r>
      <w:r w:rsidR="00EA41BA">
        <w:rPr>
          <w:lang w:val="en-US"/>
        </w:rPr>
        <w:t xml:space="preserve"> [</w:t>
      </w:r>
      <w:r w:rsidR="00EC62A1">
        <w:rPr>
          <w:lang w:val="en-US"/>
        </w:rPr>
        <w:t>11</w:t>
      </w:r>
      <w:r w:rsidR="00EA41BA">
        <w:rPr>
          <w:lang w:val="en-US"/>
        </w:rPr>
        <w:t>]</w:t>
      </w:r>
      <w:r w:rsidR="00C01BFF" w:rsidRPr="00C01BFF">
        <w:rPr>
          <w:lang w:val="en-US"/>
        </w:rPr>
        <w:t>.</w:t>
      </w:r>
      <w:r w:rsidR="0073066F">
        <w:rPr>
          <w:lang w:val="en-US"/>
        </w:rPr>
        <w:t xml:space="preserve"> </w:t>
      </w:r>
      <w:r w:rsidR="0073066F" w:rsidRPr="0073066F">
        <w:rPr>
          <w:lang w:val="en-US"/>
        </w:rPr>
        <w:t xml:space="preserve">Given the importance of graphene, many absorbers have been designed and manufactured based on this </w:t>
      </w:r>
      <w:r w:rsidR="0073066F" w:rsidRPr="0073066F">
        <w:rPr>
          <w:lang w:val="en-US"/>
        </w:rPr>
        <w:t>material, including frequency-</w:t>
      </w:r>
      <w:r w:rsidR="0073066F" w:rsidRPr="007C2014">
        <w:rPr>
          <w:lang w:val="en-US"/>
        </w:rPr>
        <w:t xml:space="preserve">switchable absorbers based on thin graphene strips, graphene </w:t>
      </w:r>
      <w:proofErr w:type="spellStart"/>
      <w:r w:rsidR="0073066F" w:rsidRPr="007C2014">
        <w:rPr>
          <w:lang w:val="en-US"/>
        </w:rPr>
        <w:t>nanodisks</w:t>
      </w:r>
      <w:proofErr w:type="spellEnd"/>
      <w:r w:rsidR="0073066F" w:rsidRPr="007C2014">
        <w:rPr>
          <w:lang w:val="en-US"/>
        </w:rPr>
        <w:t>, and even combinations of graphene wires with crossed gold wires</w:t>
      </w:r>
      <w:r w:rsidR="00C9636C" w:rsidRPr="007C2014">
        <w:rPr>
          <w:lang w:val="en-US"/>
        </w:rPr>
        <w:t xml:space="preserve"> [</w:t>
      </w:r>
      <w:r w:rsidR="00EC62A1">
        <w:rPr>
          <w:lang w:val="en-US"/>
        </w:rPr>
        <w:t>12</w:t>
      </w:r>
      <w:r w:rsidR="00171878" w:rsidRPr="007C2014">
        <w:rPr>
          <w:lang w:val="en-US"/>
        </w:rPr>
        <w:t>-</w:t>
      </w:r>
      <w:r w:rsidR="00EC62A1">
        <w:rPr>
          <w:lang w:val="en-US"/>
        </w:rPr>
        <w:t>13</w:t>
      </w:r>
      <w:r w:rsidR="00C9636C" w:rsidRPr="007C2014">
        <w:rPr>
          <w:lang w:val="en-US"/>
        </w:rPr>
        <w:t>]</w:t>
      </w:r>
      <w:r w:rsidR="00462139" w:rsidRPr="007C2014">
        <w:rPr>
          <w:lang w:val="en-US"/>
        </w:rPr>
        <w:t xml:space="preserve">. </w:t>
      </w:r>
      <w:r w:rsidR="00C9636C" w:rsidRPr="007C2014">
        <w:rPr>
          <w:lang w:val="en-US"/>
        </w:rPr>
        <w:t>In addition, graphene can be used in detectors [</w:t>
      </w:r>
      <w:r w:rsidR="00EC62A1">
        <w:rPr>
          <w:lang w:val="en-US"/>
        </w:rPr>
        <w:t>14</w:t>
      </w:r>
      <w:r w:rsidR="00C9636C" w:rsidRPr="007C2014">
        <w:rPr>
          <w:lang w:val="en-US"/>
        </w:rPr>
        <w:t>], modulators [</w:t>
      </w:r>
      <w:r w:rsidR="00EC62A1">
        <w:rPr>
          <w:lang w:val="en-US"/>
        </w:rPr>
        <w:t>15</w:t>
      </w:r>
      <w:r w:rsidR="00C9636C" w:rsidRPr="007C2014">
        <w:rPr>
          <w:lang w:val="en-US"/>
        </w:rPr>
        <w:t>], and sensors [</w:t>
      </w:r>
      <w:r w:rsidR="00EC62A1">
        <w:rPr>
          <w:lang w:val="en-US"/>
        </w:rPr>
        <w:t>16</w:t>
      </w:r>
      <w:r w:rsidR="00C9636C" w:rsidRPr="007C2014">
        <w:rPr>
          <w:lang w:val="en-US"/>
        </w:rPr>
        <w:t>].</w:t>
      </w:r>
    </w:p>
    <w:p w14:paraId="7F29420E" w14:textId="50C5E953" w:rsidR="007B71F8" w:rsidRDefault="00CC40D1" w:rsidP="00CC40D1">
      <w:pPr>
        <w:pStyle w:val="BodyText"/>
        <w:rPr>
          <w:lang w:val="en-US" w:bidi="fa-IR"/>
        </w:rPr>
      </w:pPr>
      <w:r w:rsidRPr="00462139">
        <w:rPr>
          <w:lang w:val="en-US" w:bidi="fa-IR"/>
        </w:rPr>
        <w:t>GSPP</w:t>
      </w:r>
      <w:r w:rsidR="00524F65" w:rsidRPr="00462139">
        <w:rPr>
          <w:lang w:val="en-US" w:bidi="fa-IR"/>
        </w:rPr>
        <w:t>s</w:t>
      </w:r>
      <w:r w:rsidRPr="00462139">
        <w:rPr>
          <w:lang w:val="en-US" w:bidi="fa-IR"/>
        </w:rPr>
        <w:t xml:space="preserve"> </w:t>
      </w:r>
      <w:r w:rsidR="007B71F8" w:rsidRPr="00462139">
        <w:rPr>
          <w:lang w:val="en-US" w:bidi="fa-IR"/>
        </w:rPr>
        <w:t>can be excited in the terahertz and far-infrared frequency ranges.</w:t>
      </w:r>
      <w:r w:rsidR="00462139" w:rsidRPr="00462139">
        <w:rPr>
          <w:lang w:val="en-US" w:bidi="fa-IR"/>
        </w:rPr>
        <w:t xml:space="preserve"> </w:t>
      </w:r>
      <w:r w:rsidRPr="00462139">
        <w:rPr>
          <w:lang w:val="en-US" w:bidi="fa-IR"/>
        </w:rPr>
        <w:t>GSPP modes are stronger and have lower propagation losses</w:t>
      </w:r>
      <w:r w:rsidR="00462139" w:rsidRPr="00462139">
        <w:rPr>
          <w:lang w:val="en-US" w:bidi="fa-IR"/>
        </w:rPr>
        <w:t xml:space="preserve"> relative to </w:t>
      </w:r>
      <w:r w:rsidRPr="00462139">
        <w:rPr>
          <w:lang w:val="en-US" w:bidi="fa-IR"/>
        </w:rPr>
        <w:t>metal-based</w:t>
      </w:r>
      <w:r w:rsidR="00524F65" w:rsidRPr="00462139">
        <w:rPr>
          <w:lang w:val="en-US" w:bidi="fa-IR"/>
        </w:rPr>
        <w:t xml:space="preserve"> SPs</w:t>
      </w:r>
      <w:r w:rsidRPr="00462139">
        <w:rPr>
          <w:lang w:val="en-US" w:bidi="fa-IR"/>
        </w:rPr>
        <w:t>.</w:t>
      </w:r>
      <w:r w:rsidR="00462139" w:rsidRPr="00462139">
        <w:rPr>
          <w:lang w:val="en-US" w:bidi="fa-IR"/>
        </w:rPr>
        <w:t xml:space="preserve"> </w:t>
      </w:r>
      <w:r w:rsidRPr="00462139">
        <w:rPr>
          <w:lang w:val="en-US" w:bidi="fa-IR"/>
        </w:rPr>
        <w:t xml:space="preserve">The high sensitivity of these sensors is due to the smaller resonance wavelength of graphene plasmons compared to the excitation wavelength, which leads to a stronger field and </w:t>
      </w:r>
      <w:r w:rsidR="00C969CD">
        <w:rPr>
          <w:lang w:val="en-US" w:bidi="fa-IR"/>
        </w:rPr>
        <w:t>as a result</w:t>
      </w:r>
      <w:r w:rsidRPr="00462139">
        <w:rPr>
          <w:lang w:val="en-US" w:bidi="fa-IR"/>
        </w:rPr>
        <w:t xml:space="preserve"> greater interaction with the surrounding environment [</w:t>
      </w:r>
      <w:r w:rsidR="00EC62A1">
        <w:rPr>
          <w:lang w:val="en-US" w:bidi="fa-IR"/>
        </w:rPr>
        <w:t>17</w:t>
      </w:r>
      <w:r w:rsidR="008E4C10" w:rsidRPr="00462139">
        <w:rPr>
          <w:lang w:val="en-US" w:bidi="fa-IR"/>
        </w:rPr>
        <w:t>-</w:t>
      </w:r>
      <w:r w:rsidR="00EC62A1">
        <w:rPr>
          <w:lang w:val="en-US" w:bidi="fa-IR"/>
        </w:rPr>
        <w:t>18</w:t>
      </w:r>
      <w:r w:rsidRPr="00462139">
        <w:rPr>
          <w:lang w:val="en-US" w:bidi="fa-IR"/>
        </w:rPr>
        <w:t>].</w:t>
      </w:r>
    </w:p>
    <w:p w14:paraId="172CFA18" w14:textId="50C6F815" w:rsidR="003C6F37" w:rsidRPr="008F4672" w:rsidRDefault="002D070A" w:rsidP="002D070A">
      <w:pPr>
        <w:pStyle w:val="BodyText"/>
        <w:rPr>
          <w:lang w:val="en-US" w:bidi="fa-IR"/>
        </w:rPr>
      </w:pPr>
      <w:r w:rsidRPr="002D070A">
        <w:rPr>
          <w:lang w:val="en-US" w:bidi="fa-IR"/>
        </w:rPr>
        <w:t xml:space="preserve">In this paper, graphene has been used to design a plasmonic absorber in the far-infrared frequency range, and a narrow band absorption with </w:t>
      </w:r>
      <w:r w:rsidR="00C969CD">
        <w:rPr>
          <w:lang w:val="en-US" w:bidi="fa-IR"/>
        </w:rPr>
        <w:t>the</w:t>
      </w:r>
      <w:r w:rsidRPr="002D070A">
        <w:rPr>
          <w:lang w:val="en-US" w:bidi="fa-IR"/>
        </w:rPr>
        <w:t xml:space="preserve"> value of 1 </w:t>
      </w:r>
      <w:r w:rsidR="00C969CD">
        <w:rPr>
          <w:lang w:val="en-US" w:bidi="fa-IR"/>
        </w:rPr>
        <w:t>in</w:t>
      </w:r>
      <w:r w:rsidRPr="002D070A">
        <w:rPr>
          <w:lang w:val="en-US" w:bidi="fa-IR"/>
        </w:rPr>
        <w:t xml:space="preserve"> </w:t>
      </w:r>
      <w:r>
        <w:rPr>
          <w:lang w:val="en-US" w:bidi="fa-IR"/>
        </w:rPr>
        <w:t>the</w:t>
      </w:r>
      <w:r w:rsidRPr="002D070A">
        <w:rPr>
          <w:lang w:val="en-US" w:bidi="fa-IR"/>
        </w:rPr>
        <w:t xml:space="preserve"> wavelength of</w:t>
      </w:r>
      <w:r>
        <w:rPr>
          <w:lang w:val="en-US" w:bidi="fa-IR"/>
        </w:rPr>
        <w:t xml:space="preserve"> </w:t>
      </w:r>
      <w:r w:rsidRPr="002D070A">
        <w:rPr>
          <w:lang w:val="en-US" w:bidi="fa-IR"/>
        </w:rPr>
        <w:t>19.26</w:t>
      </w:r>
      <w:r>
        <w:rPr>
          <w:lang w:val="en-US" w:bidi="fa-IR"/>
        </w:rPr>
        <w:t xml:space="preserve"> </w:t>
      </w:r>
      <w:proofErr w:type="spellStart"/>
      <w:r w:rsidRPr="002D070A">
        <w:rPr>
          <w:lang w:val="en-US" w:bidi="fa-IR"/>
        </w:rPr>
        <w:t>μm</w:t>
      </w:r>
      <w:proofErr w:type="spellEnd"/>
      <w:r>
        <w:rPr>
          <w:lang w:val="en-US" w:bidi="fa-IR"/>
        </w:rPr>
        <w:t xml:space="preserve"> </w:t>
      </w:r>
      <w:r w:rsidRPr="002D070A">
        <w:rPr>
          <w:lang w:val="en-US" w:bidi="fa-IR"/>
        </w:rPr>
        <w:t>has been obtained.</w:t>
      </w:r>
      <w:r>
        <w:rPr>
          <w:lang w:val="en-US" w:bidi="fa-IR"/>
        </w:rPr>
        <w:t xml:space="preserve"> </w:t>
      </w:r>
      <w:r w:rsidRPr="002D070A">
        <w:rPr>
          <w:lang w:val="en-US" w:bidi="fa-IR"/>
        </w:rPr>
        <w:t>Also, the sensing application of the designed absorber has been investigated.</w:t>
      </w:r>
      <w:r>
        <w:rPr>
          <w:lang w:val="en-US" w:bidi="fa-IR"/>
        </w:rPr>
        <w:t xml:space="preserve"> </w:t>
      </w:r>
    </w:p>
    <w:p w14:paraId="179EA777" w14:textId="685AFB9D" w:rsidR="009303D9" w:rsidRPr="006B6B66" w:rsidRDefault="00F51E48" w:rsidP="006B6B66">
      <w:pPr>
        <w:pStyle w:val="Heading1"/>
      </w:pPr>
      <w:r>
        <w:t>Structure Geometry and Simulation Method</w:t>
      </w:r>
    </w:p>
    <w:p w14:paraId="31EEDBE9" w14:textId="55182417" w:rsidR="00F649AE" w:rsidRPr="004A4877" w:rsidRDefault="004A4877" w:rsidP="004A4877">
      <w:pPr>
        <w:pStyle w:val="BodyText"/>
      </w:pPr>
      <w:r w:rsidRPr="004A4877">
        <w:t>In Fig</w:t>
      </w:r>
      <w:r w:rsidR="00D54936">
        <w:rPr>
          <w:lang w:val="en-US"/>
        </w:rPr>
        <w:t>.</w:t>
      </w:r>
      <w:r w:rsidRPr="004A4877">
        <w:t xml:space="preserve"> 1, the three-dimensional view and top view of the designed absorber consisting of</w:t>
      </w:r>
      <w:r>
        <w:rPr>
          <w:lang w:val="en-US"/>
        </w:rPr>
        <w:t xml:space="preserve"> </w:t>
      </w:r>
      <w:r w:rsidRPr="007C2014">
        <w:t>graphene ring and graphene quadrants</w:t>
      </w:r>
      <w:r>
        <w:rPr>
          <w:lang w:val="en-US"/>
        </w:rPr>
        <w:t xml:space="preserve"> </w:t>
      </w:r>
      <w:r w:rsidRPr="004A4877">
        <w:t>are shown.</w:t>
      </w:r>
      <w:r>
        <w:rPr>
          <w:lang w:val="en-US"/>
        </w:rPr>
        <w:t xml:space="preserve"> </w:t>
      </w:r>
      <w:r w:rsidR="00F649AE" w:rsidRPr="007C2014">
        <w:rPr>
          <w:lang w:val="en-US"/>
        </w:rPr>
        <w:t xml:space="preserve">Under the graphene layer, the layers of silicon dioxide </w:t>
      </w:r>
      <w:r w:rsidR="0007350F" w:rsidRPr="007C2014">
        <w:rPr>
          <w:lang w:val="en-US"/>
        </w:rPr>
        <w:t>(SiO</w:t>
      </w:r>
      <w:r w:rsidR="0007350F" w:rsidRPr="007C2014">
        <w:rPr>
          <w:vertAlign w:val="subscript"/>
          <w:lang w:val="en-US"/>
        </w:rPr>
        <w:t>2</w:t>
      </w:r>
      <w:r w:rsidR="0007350F" w:rsidRPr="007C2014">
        <w:rPr>
          <w:lang w:val="en-US"/>
        </w:rPr>
        <w:t>)</w:t>
      </w:r>
      <w:r w:rsidR="0007350F">
        <w:rPr>
          <w:lang w:val="en-US"/>
        </w:rPr>
        <w:t xml:space="preserve"> </w:t>
      </w:r>
      <w:r w:rsidR="00F649AE" w:rsidRPr="007C2014">
        <w:rPr>
          <w:lang w:val="en-US"/>
        </w:rPr>
        <w:t>layer</w:t>
      </w:r>
      <w:r w:rsidR="0007350F">
        <w:rPr>
          <w:lang w:val="en-US"/>
        </w:rPr>
        <w:t xml:space="preserve"> </w:t>
      </w:r>
      <w:r w:rsidR="00F649AE" w:rsidRPr="007C2014">
        <w:rPr>
          <w:lang w:val="en-US"/>
        </w:rPr>
        <w:t xml:space="preserve">and </w:t>
      </w:r>
      <w:r w:rsidR="00702554" w:rsidRPr="007C2014">
        <w:rPr>
          <w:lang w:val="en-US"/>
        </w:rPr>
        <w:t>gold</w:t>
      </w:r>
      <w:r w:rsidR="00F649AE" w:rsidRPr="007C2014">
        <w:rPr>
          <w:lang w:val="en-US"/>
        </w:rPr>
        <w:t xml:space="preserve"> are located.</w:t>
      </w:r>
      <w:r w:rsidR="00F649AE">
        <w:rPr>
          <w:lang w:val="en-US" w:bidi="fa-IR"/>
        </w:rPr>
        <w:t xml:space="preserve"> </w:t>
      </w:r>
    </w:p>
    <w:p w14:paraId="2EEA4BB0" w14:textId="77777777" w:rsidR="006D62E2" w:rsidRDefault="000026C8" w:rsidP="006D62E2">
      <w:pPr>
        <w:pStyle w:val="BodyText"/>
        <w:ind w:firstLine="14.45pt"/>
        <w:rPr>
          <w:lang w:val="en-US" w:bidi="fa-IR"/>
        </w:rPr>
      </w:pPr>
      <w:r w:rsidRPr="000026C8">
        <w:rPr>
          <w:lang w:val="en-US" w:bidi="fa-IR"/>
        </w:rPr>
        <w:t xml:space="preserve">The conductivity of </w:t>
      </w:r>
      <w:r w:rsidR="00702554">
        <w:rPr>
          <w:lang w:val="en-US" w:bidi="fa-IR"/>
        </w:rPr>
        <w:t>gold</w:t>
      </w:r>
      <w:r w:rsidRPr="000026C8">
        <w:rPr>
          <w:lang w:val="en-US" w:bidi="fa-IR"/>
        </w:rPr>
        <w:t xml:space="preserve"> is </w:t>
      </w:r>
      <w:r w:rsidRPr="0086036D">
        <w:rPr>
          <w:position w:val="-10"/>
        </w:rPr>
        <mc:AlternateContent>
          <mc:Choice Requires="v">
            <w:object w:dxaOrig="78pt" w:dyaOrig="16pt" w14:anchorId="4349675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7.85pt;height:17.5pt" o:ole="">
                <v:imagedata r:id="rId10" o:title=""/>
              </v:shape>
              <o:OLEObject Type="Embed" ProgID="Equation.DSMT4" ShapeID="_x0000_i1025" DrawAspect="Content" ObjectID="_1826994378" r:id="rId11"/>
            </w:object>
          </mc:Choice>
          <mc:Fallback>
            <w:object>
              <w:drawing>
                <wp:inline distT="0" distB="0" distL="0" distR="0" wp14:anchorId="6ABBAB43" wp14:editId="7CAD23CA">
                  <wp:extent cx="988695" cy="222250"/>
                  <wp:effectExtent l="0" t="0" r="1905" b="6350"/>
                  <wp:docPr id="1" name="Object 1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1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78" isActiveX="0" linkType=""/>
                              </a:ext>
                            </a:extLst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11" w:progId="Equation.DSMT4" w:shapeId="1" w:fieldCodes=""/>
            </w:object>
          </mc:Fallback>
        </mc:AlternateContent>
      </w:r>
      <w:r w:rsidRPr="000026C8">
        <w:rPr>
          <w:lang w:val="en-US" w:bidi="fa-IR"/>
        </w:rPr>
        <w:t xml:space="preserve"> </w:t>
      </w:r>
      <w:r>
        <w:rPr>
          <w:lang w:val="en-US" w:bidi="fa-IR"/>
        </w:rPr>
        <w:t>[</w:t>
      </w:r>
      <w:r w:rsidR="00EC62A1">
        <w:rPr>
          <w:lang w:val="en-US" w:bidi="fa-IR"/>
        </w:rPr>
        <w:t>19</w:t>
      </w:r>
      <w:r>
        <w:rPr>
          <w:lang w:val="en-US" w:bidi="fa-IR"/>
        </w:rPr>
        <w:t>]</w:t>
      </w:r>
      <w:r w:rsidR="00702554">
        <w:rPr>
          <w:lang w:val="en-US" w:bidi="fa-IR"/>
        </w:rPr>
        <w:t xml:space="preserve">, </w:t>
      </w:r>
      <w:r w:rsidRPr="000026C8">
        <w:rPr>
          <w:lang w:val="en-US" w:bidi="fa-IR"/>
        </w:rPr>
        <w:t xml:space="preserve">and the permittivity of </w:t>
      </w:r>
      <w:r>
        <w:rPr>
          <w:lang w:val="en-US" w:bidi="fa-IR"/>
        </w:rPr>
        <w:t>SiO</w:t>
      </w:r>
      <w:r w:rsidRPr="000026C8">
        <w:rPr>
          <w:vertAlign w:val="subscript"/>
          <w:lang w:val="en-US" w:bidi="fa-IR"/>
        </w:rPr>
        <w:t>2</w:t>
      </w:r>
      <w:r w:rsidRPr="000026C8">
        <w:rPr>
          <w:lang w:val="en-US" w:bidi="fa-IR"/>
        </w:rPr>
        <w:t xml:space="preserve"> is </w:t>
      </w:r>
      <w:r w:rsidR="00F56A3B">
        <w:rPr>
          <w:lang w:val="en-US" w:bidi="fa-IR"/>
        </w:rPr>
        <w:t>2.2</w:t>
      </w:r>
      <w:r>
        <w:rPr>
          <w:lang w:val="en-US" w:bidi="fa-IR"/>
        </w:rPr>
        <w:t xml:space="preserve"> [</w:t>
      </w:r>
      <w:r w:rsidR="00EC62A1">
        <w:rPr>
          <w:lang w:val="en-US" w:bidi="fa-IR"/>
        </w:rPr>
        <w:t>20</w:t>
      </w:r>
      <w:r>
        <w:rPr>
          <w:lang w:val="en-US" w:bidi="fa-IR"/>
        </w:rPr>
        <w:t>]</w:t>
      </w:r>
      <w:r w:rsidRPr="000026C8">
        <w:rPr>
          <w:lang w:val="en-US" w:bidi="fa-IR"/>
        </w:rPr>
        <w:t>.</w:t>
      </w:r>
      <w:r w:rsidR="00E75FA9">
        <w:rPr>
          <w:lang w:val="en-US" w:bidi="fa-IR"/>
        </w:rPr>
        <w:t xml:space="preserve"> </w:t>
      </w:r>
      <w:r w:rsidR="00E75FA9" w:rsidRPr="00E75FA9">
        <w:rPr>
          <w:lang w:val="en-US" w:bidi="fa-IR"/>
        </w:rPr>
        <w:t>Data related to graphene material is obtained according to the Kubo formula</w:t>
      </w:r>
      <w:r w:rsidR="00E75FA9">
        <w:rPr>
          <w:lang w:val="en-US" w:bidi="fa-IR"/>
        </w:rPr>
        <w:t xml:space="preserve">, </w:t>
      </w:r>
      <w:r w:rsidRPr="000026C8">
        <w:rPr>
          <w:lang w:val="en-US" w:bidi="fa-IR"/>
        </w:rPr>
        <w:t xml:space="preserve">which </w:t>
      </w:r>
      <w:r w:rsidRPr="007C2014">
        <w:rPr>
          <w:lang w:val="en-US" w:bidi="fa-IR"/>
        </w:rPr>
        <w:t xml:space="preserve">includes the </w:t>
      </w:r>
      <w:proofErr w:type="spellStart"/>
      <w:r w:rsidRPr="007C2014">
        <w:rPr>
          <w:lang w:val="en-US" w:bidi="fa-IR"/>
        </w:rPr>
        <w:t>intraband</w:t>
      </w:r>
      <w:proofErr w:type="spellEnd"/>
      <w:r w:rsidRPr="007C2014">
        <w:rPr>
          <w:lang w:val="en-US" w:bidi="fa-IR"/>
        </w:rPr>
        <w:t xml:space="preserve"> and </w:t>
      </w:r>
      <w:proofErr w:type="spellStart"/>
      <w:r w:rsidRPr="007C2014">
        <w:rPr>
          <w:lang w:val="en-US" w:bidi="fa-IR"/>
        </w:rPr>
        <w:t>interband</w:t>
      </w:r>
      <w:proofErr w:type="spellEnd"/>
      <w:r w:rsidRPr="007C2014">
        <w:rPr>
          <w:lang w:val="en-US" w:bidi="fa-IR"/>
        </w:rPr>
        <w:t xml:space="preserve"> transmission parts. In the far</w:t>
      </w:r>
      <w:r w:rsidR="00462139" w:rsidRPr="007C2014">
        <w:rPr>
          <w:lang w:val="en-US" w:bidi="fa-IR"/>
        </w:rPr>
        <w:t>-</w:t>
      </w:r>
      <w:r w:rsidRPr="007C2014">
        <w:rPr>
          <w:lang w:val="en-US" w:bidi="fa-IR"/>
        </w:rPr>
        <w:t xml:space="preserve">infrared frequency range, </w:t>
      </w:r>
      <w:proofErr w:type="spellStart"/>
      <w:r w:rsidRPr="007C2014">
        <w:rPr>
          <w:lang w:val="en-US" w:bidi="fa-IR"/>
        </w:rPr>
        <w:t>interband</w:t>
      </w:r>
      <w:proofErr w:type="spellEnd"/>
      <w:r w:rsidRPr="007C2014">
        <w:rPr>
          <w:lang w:val="en-US" w:bidi="fa-IR"/>
        </w:rPr>
        <w:t xml:space="preserve"> transmission can be neglected. Therefore, considering </w:t>
      </w:r>
      <w:proofErr w:type="spellStart"/>
      <w:r w:rsidRPr="007C2014">
        <w:rPr>
          <w:lang w:val="en-US" w:bidi="fa-IR"/>
        </w:rPr>
        <w:t>intraband</w:t>
      </w:r>
      <w:proofErr w:type="spellEnd"/>
      <w:r w:rsidRPr="007C2014">
        <w:rPr>
          <w:lang w:val="en-US" w:bidi="fa-IR"/>
        </w:rPr>
        <w:t xml:space="preserve"> transition, the conductivity of graphene is obtained from the following equation [</w:t>
      </w:r>
      <w:r w:rsidR="00C313B9">
        <w:rPr>
          <w:lang w:val="en-US" w:bidi="fa-IR"/>
        </w:rPr>
        <w:t>21</w:t>
      </w:r>
      <w:r w:rsidRPr="007C2014">
        <w:rPr>
          <w:lang w:val="en-US" w:bidi="fa-IR"/>
        </w:rPr>
        <w:t>]:</w:t>
      </w:r>
      <w:r w:rsidR="006D62E2">
        <w:rPr>
          <w:lang w:val="en-US" w:bidi="fa-IR"/>
        </w:rPr>
        <w:tab/>
      </w:r>
    </w:p>
    <w:p w14:paraId="5670DF31" w14:textId="2E0F8B56" w:rsidR="006D62E2" w:rsidRPr="006D62E2" w:rsidRDefault="006D62E2" w:rsidP="006D62E2">
      <w:pPr>
        <w:pStyle w:val="BodyText"/>
        <w:tabs>
          <w:tab w:val="end" w:pos="241pt"/>
        </w:tabs>
        <w:ind w:firstLine="70.90pt"/>
        <w:jc w:val="center"/>
        <w:rPr>
          <w:lang w:val="en-US" w:bidi="fa-IR"/>
        </w:rPr>
      </w:pPr>
      <w:r w:rsidRPr="00B10E3E">
        <w:rPr>
          <w:position w:val="-26"/>
        </w:rPr>
        <mc:AlternateContent>
          <mc:Choice Requires="v">
            <w:object w:dxaOrig="81pt" w:dyaOrig="31pt" w14:anchorId="65CCB2BB">
              <v:shape id="_x0000_i1026" type="#_x0000_t75" style="width:83.7pt;height:33.1pt" o:ole="">
                <v:imagedata r:id="rId13" o:title=""/>
              </v:shape>
              <o:OLEObject Type="Embed" ProgID="Equation.DSMT4" ShapeID="_x0000_i1026" DrawAspect="Content" ObjectID="_1826994379" r:id="rId14"/>
            </w:object>
          </mc:Choice>
          <mc:Fallback>
            <w:object>
              <w:drawing>
                <wp:inline distT="0" distB="0" distL="0" distR="0" wp14:anchorId="0B42A0BD" wp14:editId="0D4726F8">
                  <wp:extent cx="1062990" cy="420370"/>
                  <wp:effectExtent l="0" t="0" r="3810" b="0"/>
                  <wp:docPr id="2" name="Object 2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2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79" isActiveX="0" linkType=""/>
                              </a:ext>
                            </a:extLst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14" w:progId="Equation.DSMT4" w:shapeId="2" w:fieldCodes=""/>
            </w:object>
          </mc:Fallback>
        </mc:AlternateContent>
      </w:r>
      <w:r>
        <w:tab/>
      </w:r>
      <w:r>
        <w:rPr>
          <w:lang w:val="en-US"/>
        </w:rPr>
        <w:t>(1)</w:t>
      </w:r>
    </w:p>
    <w:p w14:paraId="1A0FA067" w14:textId="15C10EE6" w:rsidR="000D47B5" w:rsidRDefault="000D47B5" w:rsidP="005E0CD7">
      <w:pPr>
        <w:pStyle w:val="BodyText"/>
        <w:ind w:firstLine="0pt"/>
        <w:rPr>
          <w:lang w:val="en-US"/>
        </w:rPr>
      </w:pPr>
      <w:r w:rsidRPr="007C2014">
        <w:rPr>
          <w:lang w:val="en-US" w:bidi="fa-IR"/>
        </w:rPr>
        <w:t>w</w:t>
      </w:r>
      <w:r w:rsidRPr="007C2014">
        <w:rPr>
          <w:lang w:bidi="fa-IR"/>
        </w:rPr>
        <w:t>here</w:t>
      </w:r>
      <w:r w:rsidRPr="007C2014">
        <w:rPr>
          <w:lang w:val="en-US" w:bidi="fa-IR"/>
        </w:rPr>
        <w:t xml:space="preserve"> </w:t>
      </w:r>
      <w:r w:rsidRPr="007C2014">
        <w:rPr>
          <w:i/>
          <w:iCs/>
          <w:lang w:val="en-US" w:bidi="fa-IR"/>
        </w:rPr>
        <w:t>e</w:t>
      </w:r>
      <w:r>
        <w:rPr>
          <w:lang w:val="en-US" w:bidi="fa-IR"/>
        </w:rPr>
        <w:t>,</w:t>
      </w:r>
      <w:r w:rsidR="00694FAA">
        <w:rPr>
          <w:lang w:val="en-US" w:bidi="fa-IR"/>
        </w:rPr>
        <w:t xml:space="preserve"> </w:t>
      </w:r>
      <w:r w:rsidR="00694FAA" w:rsidRPr="00377696">
        <w:rPr>
          <w:position w:val="-6"/>
        </w:rPr>
        <mc:AlternateContent>
          <mc:Choice Requires="v">
            <w:object w:dxaOrig="11pt" w:dyaOrig="10pt" w14:anchorId="0563398F">
              <v:shape id="_x0000_i1027" type="#_x0000_t75" style="width:11.7pt;height:11.7pt" o:ole="">
                <v:imagedata r:id="rId16" o:title=""/>
              </v:shape>
              <o:OLEObject Type="Embed" ProgID="Equation.DSMT4" ShapeID="_x0000_i1027" DrawAspect="Content" ObjectID="_1826994380" r:id="rId17"/>
            </w:object>
          </mc:Choice>
          <mc:Fallback>
            <w:object>
              <w:drawing>
                <wp:inline distT="0" distB="0" distL="0" distR="0" wp14:anchorId="45CC5CE7" wp14:editId="4B6AAF57">
                  <wp:extent cx="148590" cy="148590"/>
                  <wp:effectExtent l="0" t="0" r="3810" b="3810"/>
                  <wp:docPr id="3" name="Object 3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3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0" isActiveX="0" linkType=""/>
                              </a:ext>
                            </a:extLst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17" w:progId="Equation.DSMT4" w:shapeId="3" w:fieldCodes=""/>
            </w:object>
          </mc:Fallback>
        </mc:AlternateContent>
      </w:r>
      <w:r w:rsidR="0007350F">
        <w:rPr>
          <w:lang w:val="en-US"/>
        </w:rPr>
        <w:t xml:space="preserve">, </w:t>
      </w:r>
      <w:r w:rsidR="00694FAA">
        <w:rPr>
          <w:lang w:val="en-US"/>
        </w:rPr>
        <w:t xml:space="preserve">and </w:t>
      </w:r>
      <w:r w:rsidRPr="00377696">
        <w:rPr>
          <w:position w:val="-4"/>
        </w:rPr>
        <mc:AlternateContent>
          <mc:Choice Requires="v">
            <w:object w:dxaOrig="9pt" w:dyaOrig="12pt" w14:anchorId="72F01F8E">
              <v:shape id="_x0000_i1028" type="#_x0000_t75" style="width:11.7pt;height:11.7pt" o:ole="">
                <v:imagedata r:id="rId19" o:title=""/>
              </v:shape>
              <o:OLEObject Type="Embed" ProgID="Equation.DSMT4" ShapeID="_x0000_i1028" DrawAspect="Content" ObjectID="_1826994381" r:id="rId20"/>
            </w:object>
          </mc:Choice>
          <mc:Fallback>
            <w:object>
              <w:drawing>
                <wp:inline distT="0" distB="0" distL="0" distR="0" wp14:anchorId="74566C42" wp14:editId="1ED27CA9">
                  <wp:extent cx="148590" cy="148590"/>
                  <wp:effectExtent l="0" t="0" r="3810" b="3810"/>
                  <wp:docPr id="4" name="Object 4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4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1" isActiveX="0" linkType=""/>
                              </a:ext>
                            </a:extLst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20" w:progId="Equation.DSMT4" w:shapeId="4" w:fieldCodes=""/>
            </w:object>
          </mc:Fallback>
        </mc:AlternateContent>
      </w:r>
      <w:r w:rsidR="00694FAA">
        <w:rPr>
          <w:lang w:val="en-US"/>
        </w:rPr>
        <w:t xml:space="preserve"> are</w:t>
      </w:r>
      <w:r w:rsidRPr="007C2014">
        <w:rPr>
          <w:lang w:bidi="fa-IR"/>
        </w:rPr>
        <w:t xml:space="preserve"> the electron charge,</w:t>
      </w:r>
      <w:r w:rsidR="00694FAA">
        <w:rPr>
          <w:lang w:val="en-US" w:bidi="fa-IR"/>
        </w:rPr>
        <w:t xml:space="preserve"> </w:t>
      </w:r>
      <w:r w:rsidR="00694FAA" w:rsidRPr="00E0432C">
        <w:rPr>
          <w:lang w:bidi="fa-IR"/>
        </w:rPr>
        <w:t>angular frequency</w:t>
      </w:r>
      <w:r w:rsidR="00EC0C55">
        <w:rPr>
          <w:lang w:val="en-US" w:bidi="fa-IR"/>
        </w:rPr>
        <w:t xml:space="preserve">, </w:t>
      </w:r>
      <w:r w:rsidR="00694FAA">
        <w:rPr>
          <w:lang w:val="en-US" w:bidi="fa-IR"/>
        </w:rPr>
        <w:t xml:space="preserve">and </w:t>
      </w:r>
      <w:r w:rsidR="00694FAA" w:rsidRPr="007C2014">
        <w:rPr>
          <w:lang w:bidi="fa-IR"/>
        </w:rPr>
        <w:t>reduced</w:t>
      </w:r>
      <w:r w:rsidR="00694FAA" w:rsidRPr="00E0432C">
        <w:rPr>
          <w:lang w:bidi="fa-IR"/>
        </w:rPr>
        <w:t xml:space="preserve"> Planck constant</w:t>
      </w:r>
      <w:r w:rsidR="0007350F">
        <w:rPr>
          <w:lang w:val="en-US" w:bidi="fa-IR"/>
        </w:rPr>
        <w:t xml:space="preserve">, </w:t>
      </w:r>
      <w:r w:rsidR="0007350F">
        <w:t>respectively</w:t>
      </w:r>
      <w:r w:rsidR="00694FAA">
        <w:rPr>
          <w:lang w:val="en-US" w:bidi="fa-IR"/>
        </w:rPr>
        <w:t>. Also,</w:t>
      </w:r>
      <w:r w:rsidRPr="007C2014">
        <w:rPr>
          <w:position w:val="-10"/>
        </w:rPr>
        <mc:AlternateContent>
          <mc:Choice Requires="v">
            <w:object w:dxaOrig="13pt" w:dyaOrig="15pt" w14:anchorId="06A49CD1">
              <v:shape id="_x0000_i1029" type="#_x0000_t75" style="width:17.5pt;height:17.5pt" o:ole="">
                <v:imagedata r:id="rId22" o:title=""/>
              </v:shape>
              <o:OLEObject Type="Embed" ProgID="Equation.DSMT4" ShapeID="_x0000_i1029" DrawAspect="Content" ObjectID="_1826994382" r:id="rId23"/>
            </w:object>
          </mc:Choice>
          <mc:Fallback>
            <w:object>
              <w:drawing>
                <wp:inline distT="0" distB="0" distL="0" distR="0" wp14:anchorId="08F86FD6" wp14:editId="1113C776">
                  <wp:extent cx="222250" cy="222250"/>
                  <wp:effectExtent l="0" t="0" r="0" b="6350"/>
                  <wp:docPr id="5" name="Object 5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5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2" isActiveX="0" linkType=""/>
                              </a:ext>
                            </a:extLst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23" w:progId="Equation.DSMT4" w:shapeId="5" w:fieldCodes=""/>
            </w:object>
          </mc:Fallback>
        </mc:AlternateContent>
      </w:r>
      <w:r w:rsidRPr="007C2014">
        <w:rPr>
          <w:lang w:val="en-US"/>
        </w:rPr>
        <w:t xml:space="preserve"> </w:t>
      </w:r>
      <w:r w:rsidR="00694FAA">
        <w:rPr>
          <w:lang w:val="en-US"/>
        </w:rPr>
        <w:t xml:space="preserve">and </w:t>
      </w:r>
      <w:r w:rsidR="00694FAA" w:rsidRPr="00377696">
        <w:rPr>
          <w:position w:val="-6"/>
        </w:rPr>
        <mc:AlternateContent>
          <mc:Choice Requires="v">
            <w:object w:dxaOrig="9pt" w:dyaOrig="10pt" w14:anchorId="05B45CB9">
              <v:shape id="_x0000_i1030" type="#_x0000_t75" style="width:11.7pt;height:11.7pt" o:ole="">
                <v:imagedata r:id="rId25" o:title=""/>
              </v:shape>
              <o:OLEObject Type="Embed" ProgID="Equation.DSMT4" ShapeID="_x0000_i1030" DrawAspect="Content" ObjectID="_1826994383" r:id="rId26"/>
            </w:object>
          </mc:Choice>
          <mc:Fallback>
            <w:object>
              <w:drawing>
                <wp:inline distT="0" distB="0" distL="0" distR="0" wp14:anchorId="184DC500" wp14:editId="785E44B1">
                  <wp:extent cx="148590" cy="148590"/>
                  <wp:effectExtent l="0" t="0" r="3810" b="3810"/>
                  <wp:docPr id="6" name="Object 6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6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3" isActiveX="0" linkType=""/>
                              </a:ext>
                            </a:extLst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26" w:progId="Equation.DSMT4" w:shapeId="6" w:fieldCodes=""/>
            </w:object>
          </mc:Fallback>
        </mc:AlternateContent>
      </w:r>
      <w:r w:rsidR="00694FAA">
        <w:rPr>
          <w:lang w:val="en-US" w:bidi="fa-IR"/>
        </w:rPr>
        <w:t xml:space="preserve"> </w:t>
      </w:r>
      <w:r w:rsidR="005E0CD7">
        <w:rPr>
          <w:lang w:val="en-US" w:bidi="fa-IR"/>
        </w:rPr>
        <w:t>are</w:t>
      </w:r>
      <w:r w:rsidRPr="007C2014">
        <w:rPr>
          <w:lang w:bidi="fa-IR"/>
        </w:rPr>
        <w:t xml:space="preserve"> the chemical potential </w:t>
      </w:r>
      <w:r w:rsidR="005E0CD7">
        <w:rPr>
          <w:lang w:val="en-US" w:bidi="fa-IR"/>
        </w:rPr>
        <w:t xml:space="preserve">and </w:t>
      </w:r>
      <w:r w:rsidR="005E0CD7" w:rsidRPr="00E0432C">
        <w:rPr>
          <w:lang w:bidi="fa-IR"/>
        </w:rPr>
        <w:t>relaxation time</w:t>
      </w:r>
      <w:r w:rsidR="005E0CD7">
        <w:rPr>
          <w:lang w:val="en-US" w:bidi="fa-IR"/>
        </w:rPr>
        <w:t xml:space="preserve"> </w:t>
      </w:r>
      <w:r w:rsidRPr="007C2014">
        <w:rPr>
          <w:lang w:bidi="fa-IR"/>
        </w:rPr>
        <w:t xml:space="preserve">of </w:t>
      </w:r>
      <w:r w:rsidR="005E0CD7">
        <w:rPr>
          <w:lang w:val="en-US" w:bidi="fa-IR"/>
        </w:rPr>
        <w:t xml:space="preserve">the </w:t>
      </w:r>
      <w:r w:rsidRPr="007C2014">
        <w:rPr>
          <w:lang w:bidi="fa-IR"/>
        </w:rPr>
        <w:t>graphene</w:t>
      </w:r>
      <w:r w:rsidR="0007350F">
        <w:rPr>
          <w:lang w:val="en-US" w:bidi="fa-IR"/>
        </w:rPr>
        <w:t xml:space="preserve">, </w:t>
      </w:r>
      <w:r w:rsidR="0007350F">
        <w:t>respectively</w:t>
      </w:r>
      <w:r w:rsidR="0007350F">
        <w:rPr>
          <w:lang w:val="en-US"/>
        </w:rPr>
        <w:t>.</w:t>
      </w:r>
    </w:p>
    <w:p w14:paraId="2A65406F" w14:textId="2A21E347" w:rsidR="00835BEA" w:rsidRDefault="00835BEA" w:rsidP="00835BEA">
      <w:pPr>
        <w:pStyle w:val="BodyText"/>
        <w:ind w:firstLine="14.45pt"/>
        <w:rPr>
          <w:lang w:val="en-US" w:bidi="fa-IR"/>
        </w:rPr>
      </w:pPr>
      <w:r w:rsidRPr="00423264">
        <w:rPr>
          <w:lang w:val="en-US" w:bidi="fa-IR"/>
        </w:rPr>
        <w:t xml:space="preserve">In this </w:t>
      </w:r>
      <w:r>
        <w:rPr>
          <w:lang w:val="en-US" w:bidi="fa-IR"/>
        </w:rPr>
        <w:t>article</w:t>
      </w:r>
      <w:r w:rsidRPr="00423264">
        <w:rPr>
          <w:lang w:val="en-US" w:bidi="fa-IR"/>
        </w:rPr>
        <w:t>, chemical potential and relaxation time are considered according to</w:t>
      </w:r>
      <w:r>
        <w:rPr>
          <w:lang w:val="en-US" w:bidi="fa-IR"/>
        </w:rPr>
        <w:t xml:space="preserve"> </w:t>
      </w:r>
      <w:r w:rsidRPr="009A3B45">
        <w:rPr>
          <w:position w:val="-10"/>
        </w:rPr>
        <mc:AlternateContent>
          <mc:Choice Requires="v">
            <w:object w:dxaOrig="40pt" w:dyaOrig="15pt" w14:anchorId="0965A29E">
              <v:shape id="_x0000_i1043" type="#_x0000_t75" style="width:38.9pt;height:17.5pt" o:ole="">
                <v:imagedata r:id="rId28" o:title=""/>
              </v:shape>
              <o:OLEObject Type="Embed" ProgID="Equation.DSMT4" ShapeID="_x0000_i1043" DrawAspect="Content" ObjectID="_1826994384" r:id="rId29"/>
            </w:object>
          </mc:Choice>
          <mc:Fallback>
            <w:object>
              <w:drawing>
                <wp:inline distT="0" distB="0" distL="0" distR="0" wp14:anchorId="75961FD1" wp14:editId="0C36D475">
                  <wp:extent cx="494030" cy="222250"/>
                  <wp:effectExtent l="0" t="0" r="1270" b="6350"/>
                  <wp:docPr id="19" name="Object 19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19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4" isActiveX="0" linkType=""/>
                              </a:ext>
                            </a:extLst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29" w:progId="Equation.DSMT4" w:shapeId="19" w:fieldCodes=""/>
            </w:object>
          </mc:Fallback>
        </mc:AlternateContent>
      </w:r>
      <w:r>
        <w:rPr>
          <w:lang w:val="en-US"/>
        </w:rPr>
        <w:t xml:space="preserve"> </w:t>
      </w:r>
      <w:proofErr w:type="spellStart"/>
      <w:r w:rsidRPr="00423264">
        <w:rPr>
          <w:lang w:val="en-US" w:bidi="fa-IR"/>
        </w:rPr>
        <w:t>and</w:t>
      </w:r>
      <w:proofErr w:type="spellEnd"/>
      <w:r>
        <w:rPr>
          <w:lang w:val="en-US" w:bidi="fa-IR"/>
        </w:rPr>
        <w:t xml:space="preserve"> </w:t>
      </w:r>
      <w:r w:rsidRPr="009A3B45">
        <w:rPr>
          <w:position w:val="-10"/>
        </w:rPr>
        <mc:AlternateContent>
          <mc:Choice Requires="v">
            <w:object w:dxaOrig="33pt" w:dyaOrig="13.95pt" w14:anchorId="1B1C3508">
              <v:shape id="_x0000_i1044" type="#_x0000_t75" style="width:33.1pt;height:17.5pt" o:ole="">
                <v:imagedata r:id="rId31" o:title=""/>
              </v:shape>
              <o:OLEObject Type="Embed" ProgID="Equation.DSMT4" ShapeID="_x0000_i1044" DrawAspect="Content" ObjectID="_1826994385" r:id="rId32"/>
            </w:object>
          </mc:Choice>
          <mc:Fallback>
            <w:object>
              <w:drawing>
                <wp:inline distT="0" distB="0" distL="0" distR="0" wp14:anchorId="47E89427" wp14:editId="66AAAB0D">
                  <wp:extent cx="420370" cy="222250"/>
                  <wp:effectExtent l="0" t="0" r="0" b="6350"/>
                  <wp:docPr id="20" name="Object 20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20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5" isActiveX="0" linkType=""/>
                              </a:ext>
                            </a:extLst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32" w:progId="Equation.DSMT4" w:shapeId="20" w:fieldCodes=""/>
            </w:object>
          </mc:Fallback>
        </mc:AlternateContent>
      </w:r>
      <w:r>
        <w:rPr>
          <w:lang w:val="en-US" w:bidi="fa-IR"/>
        </w:rPr>
        <w:t xml:space="preserve">. </w:t>
      </w:r>
      <w:r w:rsidRPr="00423264">
        <w:rPr>
          <w:lang w:val="en-US" w:bidi="fa-IR"/>
        </w:rPr>
        <w:t>In addition</w:t>
      </w:r>
      <w:r>
        <w:rPr>
          <w:lang w:val="en-US" w:bidi="fa-IR"/>
        </w:rPr>
        <w:t xml:space="preserve">, </w:t>
      </w:r>
      <w:r>
        <w:rPr>
          <w:lang w:val="en-US" w:bidi="fa-IR"/>
        </w:rPr>
        <w:lastRenderedPageBreak/>
        <w:t xml:space="preserve">the </w:t>
      </w:r>
      <w:r w:rsidRPr="00DC6A5D">
        <w:rPr>
          <w:lang w:val="en-US" w:bidi="fa-IR"/>
        </w:rPr>
        <w:t>thickness of the graphene layer in the simulations</w:t>
      </w:r>
      <w:r>
        <w:rPr>
          <w:lang w:val="en-US" w:bidi="fa-IR"/>
        </w:rPr>
        <w:t xml:space="preserve"> has been </w:t>
      </w:r>
      <w:r w:rsidRPr="00DC6A5D">
        <w:rPr>
          <w:lang w:val="en-US" w:bidi="fa-IR"/>
        </w:rPr>
        <w:t>considered</w:t>
      </w:r>
      <w:r>
        <w:rPr>
          <w:lang w:val="en-US" w:bidi="fa-IR"/>
        </w:rPr>
        <w:t xml:space="preserve"> </w:t>
      </w:r>
      <w:r w:rsidRPr="00DC6A5D">
        <w:rPr>
          <w:lang w:val="en-US" w:bidi="fa-IR"/>
        </w:rPr>
        <w:t xml:space="preserve">to be </w:t>
      </w:r>
      <w:r>
        <w:rPr>
          <w:lang w:val="en-US" w:bidi="fa-IR"/>
        </w:rPr>
        <w:t>1 nm</w:t>
      </w:r>
      <w:r w:rsidRPr="00DC6A5D">
        <w:rPr>
          <w:lang w:val="en-US" w:bidi="fa-IR"/>
        </w:rPr>
        <w:t>.</w:t>
      </w:r>
      <w:r>
        <w:rPr>
          <w:lang w:val="en-US" w:bidi="fa-IR"/>
        </w:rPr>
        <w:t xml:space="preserve"> </w:t>
      </w:r>
    </w:p>
    <w:p w14:paraId="114F1270" w14:textId="77777777" w:rsidR="00C5422D" w:rsidRPr="006B6B66" w:rsidRDefault="00C5422D" w:rsidP="00C5422D">
      <w:pPr>
        <w:pStyle w:val="Heading1"/>
      </w:pPr>
      <w:r>
        <w:t>Results and Discussion</w:t>
      </w:r>
    </w:p>
    <w:p w14:paraId="2183136D" w14:textId="77777777" w:rsidR="00C5422D" w:rsidRDefault="00C5422D" w:rsidP="00C5422D">
      <w:pPr>
        <w:pStyle w:val="BodyText"/>
        <w:ind w:firstLine="14.45pt"/>
        <w:rPr>
          <w:lang w:val="en-US"/>
        </w:rPr>
      </w:pPr>
      <w:r w:rsidRPr="00CA6C26">
        <w:rPr>
          <w:lang w:val="en-US"/>
        </w:rPr>
        <w:t xml:space="preserve">A plane wave with electric field polarization </w:t>
      </w:r>
      <w:r w:rsidRPr="00CA6C26">
        <w:rPr>
          <w:i/>
          <w:iCs/>
          <w:lang w:val="en-US"/>
        </w:rPr>
        <w:t>x</w:t>
      </w:r>
      <w:r w:rsidRPr="00CA6C26">
        <w:rPr>
          <w:lang w:val="en-US"/>
        </w:rPr>
        <w:t xml:space="preserve"> in the -</w:t>
      </w:r>
      <w:r w:rsidRPr="00CA6C26">
        <w:rPr>
          <w:i/>
          <w:iCs/>
          <w:lang w:val="en-US"/>
        </w:rPr>
        <w:t>z</w:t>
      </w:r>
      <w:r w:rsidRPr="00CA6C26">
        <w:rPr>
          <w:lang w:val="en-US"/>
        </w:rPr>
        <w:t xml:space="preserve"> direction is incident perpendicular to the structure</w:t>
      </w:r>
      <w:r>
        <w:rPr>
          <w:lang w:val="en-US"/>
        </w:rPr>
        <w:t xml:space="preserve">. </w:t>
      </w:r>
      <w:r w:rsidRPr="00CA6C26">
        <w:rPr>
          <w:lang w:val="en-US"/>
        </w:rPr>
        <w:t>The absorption of the structure is obtained using the equatio</w:t>
      </w:r>
      <w:r>
        <w:rPr>
          <w:lang w:val="en-US"/>
        </w:rPr>
        <w:t xml:space="preserve">n </w:t>
      </w:r>
      <w:r w:rsidRPr="001C04F0">
        <w:rPr>
          <w:i/>
          <w:iCs/>
          <w:lang w:val="en-US"/>
        </w:rPr>
        <w:t>A</w:t>
      </w:r>
      <w:r>
        <w:rPr>
          <w:lang w:val="en-US"/>
        </w:rPr>
        <w:t>=1-</w:t>
      </w:r>
      <w:r w:rsidRPr="00530C51">
        <w:rPr>
          <w:i/>
          <w:iCs/>
          <w:lang w:val="en-US"/>
        </w:rPr>
        <w:t>R</w:t>
      </w:r>
      <w:r>
        <w:rPr>
          <w:lang w:val="en-US"/>
        </w:rPr>
        <w:t>-</w:t>
      </w:r>
      <w:r w:rsidRPr="00530C51">
        <w:rPr>
          <w:i/>
          <w:iCs/>
          <w:lang w:val="en-US"/>
        </w:rPr>
        <w:t>T</w:t>
      </w:r>
      <w:r w:rsidRPr="00CA6C26">
        <w:rPr>
          <w:lang w:val="en-US"/>
        </w:rPr>
        <w:t>, where</w:t>
      </w:r>
      <w:r>
        <w:rPr>
          <w:lang w:val="en-US"/>
        </w:rPr>
        <w:t xml:space="preserve"> </w:t>
      </w:r>
      <w:r w:rsidRPr="00C552DB">
        <w:rPr>
          <w:i/>
          <w:iCs/>
          <w:lang w:val="en-US"/>
        </w:rPr>
        <w:t>T</w:t>
      </w:r>
      <w:r>
        <w:rPr>
          <w:lang w:val="en-US"/>
        </w:rPr>
        <w:t xml:space="preserve"> and </w:t>
      </w:r>
      <w:r w:rsidRPr="00530C51">
        <w:rPr>
          <w:i/>
          <w:iCs/>
          <w:lang w:val="en-US"/>
        </w:rPr>
        <w:t>R</w:t>
      </w:r>
      <w:r>
        <w:rPr>
          <w:lang w:val="en-US"/>
        </w:rPr>
        <w:t xml:space="preserve"> are</w:t>
      </w:r>
      <w:r w:rsidRPr="00CA6C26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CA6C26">
        <w:rPr>
          <w:lang w:val="en-US"/>
        </w:rPr>
        <w:t>transmission</w:t>
      </w:r>
      <w:r>
        <w:rPr>
          <w:lang w:val="en-US"/>
        </w:rPr>
        <w:t xml:space="preserve"> and </w:t>
      </w:r>
      <w:r w:rsidRPr="00CA6C26">
        <w:rPr>
          <w:lang w:val="en-US"/>
        </w:rPr>
        <w:t>the reflection</w:t>
      </w:r>
      <w:r>
        <w:rPr>
          <w:lang w:val="en-US"/>
        </w:rPr>
        <w:t xml:space="preserve"> </w:t>
      </w:r>
      <w:r w:rsidRPr="00CA6C26">
        <w:rPr>
          <w:lang w:val="en-US"/>
        </w:rPr>
        <w:t xml:space="preserve">of the </w:t>
      </w:r>
      <w:r>
        <w:rPr>
          <w:lang w:val="en-US"/>
        </w:rPr>
        <w:t xml:space="preserve">absorber, </w:t>
      </w:r>
      <w:r>
        <w:t>respectively</w:t>
      </w:r>
      <w:r w:rsidRPr="00CA6C26">
        <w:rPr>
          <w:lang w:val="en-US"/>
        </w:rPr>
        <w:t>.</w:t>
      </w:r>
      <w:r>
        <w:rPr>
          <w:lang w:val="en-US"/>
        </w:rPr>
        <w:t xml:space="preserve"> </w:t>
      </w:r>
      <w:r w:rsidRPr="00B92711">
        <w:rPr>
          <w:lang w:val="en-US"/>
        </w:rPr>
        <w:t>Since the thickness of the gold layer is greater than the skin depth of gold in the far infrared wavelength range,</w:t>
      </w:r>
      <w:r>
        <w:rPr>
          <w:lang w:val="en-US"/>
        </w:rPr>
        <w:t xml:space="preserve"> </w:t>
      </w:r>
      <w:r w:rsidRPr="00B92711">
        <w:rPr>
          <w:lang w:val="en-US"/>
        </w:rPr>
        <w:t>therefore no wave passes through the structure and the transmission is zero.</w:t>
      </w:r>
    </w:p>
    <w:p w14:paraId="3C8D140A" w14:textId="650EE0CA" w:rsidR="00C5422D" w:rsidRDefault="00C5422D" w:rsidP="00C5422D">
      <w:pPr>
        <w:pStyle w:val="BodyText"/>
        <w:ind w:firstLine="14.45pt"/>
        <w:rPr>
          <w:lang w:val="en-US" w:bidi="fa-IR"/>
        </w:rPr>
      </w:pPr>
      <w:r w:rsidRPr="00B92711">
        <w:rPr>
          <w:lang w:val="en-US" w:bidi="fa-IR"/>
        </w:rPr>
        <w:t>The absorption curve of the designed device</w:t>
      </w:r>
      <w:r>
        <w:rPr>
          <w:lang w:val="en-US" w:bidi="fa-IR"/>
        </w:rPr>
        <w:t xml:space="preserve"> is </w:t>
      </w:r>
      <w:r w:rsidRPr="00010100">
        <w:rPr>
          <w:lang w:val="en-US" w:bidi="fa-IR"/>
        </w:rPr>
        <w:t>plotted in Fig</w:t>
      </w:r>
      <w:r>
        <w:rPr>
          <w:lang w:val="en-US" w:bidi="fa-IR"/>
        </w:rPr>
        <w:t>. 2</w:t>
      </w:r>
      <w:r w:rsidRPr="00010100">
        <w:rPr>
          <w:lang w:val="en-US" w:bidi="fa-IR"/>
        </w:rPr>
        <w:t>,</w:t>
      </w:r>
      <w:r>
        <w:rPr>
          <w:lang w:val="en-US" w:bidi="fa-IR"/>
        </w:rPr>
        <w:t xml:space="preserve"> and</w:t>
      </w:r>
      <w:r w:rsidRPr="00010100">
        <w:rPr>
          <w:lang w:val="en-US" w:bidi="fa-IR"/>
        </w:rPr>
        <w:t xml:space="preserve"> </w:t>
      </w:r>
      <w:r w:rsidRPr="00B92711">
        <w:rPr>
          <w:lang w:val="en-US" w:bidi="fa-IR"/>
        </w:rPr>
        <w:t>absorption of 1 is observed</w:t>
      </w:r>
      <w:r>
        <w:rPr>
          <w:lang w:val="en-US" w:bidi="fa-IR"/>
        </w:rPr>
        <w:t xml:space="preserve"> in the </w:t>
      </w:r>
      <w:r w:rsidRPr="00010100">
        <w:rPr>
          <w:lang w:val="en-US" w:bidi="fa-IR"/>
        </w:rPr>
        <w:t>wavelength of 19.26</w:t>
      </w:r>
      <w:r>
        <w:rPr>
          <w:lang w:val="en-US" w:bidi="fa-IR"/>
        </w:rPr>
        <w:t xml:space="preserve"> </w:t>
      </w:r>
      <w:r w:rsidRPr="00010100">
        <w:rPr>
          <w:lang w:val="en-US" w:bidi="fa-IR"/>
        </w:rPr>
        <w:t>µ</w:t>
      </w:r>
      <w:r>
        <w:rPr>
          <w:lang w:val="en-US" w:bidi="fa-IR"/>
        </w:rPr>
        <w:t>m</w:t>
      </w:r>
      <w:r w:rsidRPr="00010100">
        <w:rPr>
          <w:lang w:val="en-US" w:bidi="fa-IR"/>
        </w:rPr>
        <w:t>.</w:t>
      </w:r>
      <w:r>
        <w:rPr>
          <w:lang w:val="en-US" w:bidi="fa-IR"/>
        </w:rPr>
        <w:t xml:space="preserve"> </w:t>
      </w:r>
    </w:p>
    <w:p w14:paraId="162244A2" w14:textId="57249E56" w:rsidR="00C5422D" w:rsidRPr="00961DEB" w:rsidRDefault="00835BEA" w:rsidP="00835BEA">
      <w:pPr>
        <w:pStyle w:val="BodyText"/>
        <w:ind w:firstLine="14.45pt"/>
        <w:rPr>
          <w:lang w:val="en-US" w:bidi="fa-IR"/>
        </w:rPr>
      </w:pPr>
      <w:r w:rsidRPr="001209D8">
        <w:rPr>
          <w:lang w:val="en-US" w:bidi="fa-IR"/>
        </w:rPr>
        <w:t>The effect of</w:t>
      </w:r>
      <w:r>
        <w:rPr>
          <w:lang w:val="en-US" w:bidi="fa-IR"/>
        </w:rPr>
        <w:t xml:space="preserve"> the </w:t>
      </w:r>
      <w:r w:rsidRPr="001209D8">
        <w:rPr>
          <w:lang w:val="en-US" w:bidi="fa-IR"/>
        </w:rPr>
        <w:t>number of important geometric</w:t>
      </w:r>
      <w:r>
        <w:rPr>
          <w:lang w:val="en-US" w:bidi="fa-IR"/>
        </w:rPr>
        <w:t>al</w:t>
      </w:r>
      <w:r w:rsidRPr="001209D8">
        <w:rPr>
          <w:lang w:val="en-US" w:bidi="fa-IR"/>
        </w:rPr>
        <w:t xml:space="preserve"> parameters</w:t>
      </w:r>
      <w:r>
        <w:rPr>
          <w:lang w:val="en-US" w:bidi="fa-IR"/>
        </w:rPr>
        <w:t xml:space="preserve"> is </w:t>
      </w:r>
      <w:r w:rsidRPr="001209D8">
        <w:rPr>
          <w:lang w:val="en-US" w:bidi="fa-IR"/>
        </w:rPr>
        <w:t>investigated to obtain optimal values ​​and better understand the various structural components on the performance of the designed device.</w:t>
      </w:r>
      <w:r>
        <w:rPr>
          <w:lang w:val="en-US" w:bidi="fa-IR"/>
        </w:rPr>
        <w:t xml:space="preserve"> </w:t>
      </w:r>
      <w:r w:rsidRPr="00326CB5">
        <w:rPr>
          <w:lang w:val="en-US" w:bidi="fa-IR"/>
        </w:rPr>
        <w:t>In Fig</w:t>
      </w:r>
      <w:r>
        <w:rPr>
          <w:lang w:val="en-US" w:bidi="fa-IR"/>
        </w:rPr>
        <w:t>. 3</w:t>
      </w:r>
      <w:r w:rsidRPr="00326CB5">
        <w:rPr>
          <w:lang w:val="en-US" w:bidi="fa-IR"/>
        </w:rPr>
        <w:t>, the absorption spectrum</w:t>
      </w:r>
      <w:r>
        <w:rPr>
          <w:lang w:val="en-US" w:bidi="fa-IR"/>
        </w:rPr>
        <w:t xml:space="preserve"> is </w:t>
      </w:r>
      <w:r w:rsidRPr="00326CB5">
        <w:rPr>
          <w:lang w:val="en-US" w:bidi="fa-IR"/>
        </w:rPr>
        <w:t xml:space="preserve">shown for small </w:t>
      </w:r>
      <w:r>
        <w:rPr>
          <w:lang w:val="en-US" w:bidi="fa-IR"/>
        </w:rPr>
        <w:t>(r</w:t>
      </w:r>
      <w:r w:rsidRPr="003761AD">
        <w:rPr>
          <w:vertAlign w:val="subscript"/>
          <w:lang w:val="en-US" w:bidi="fa-IR"/>
        </w:rPr>
        <w:t>1</w:t>
      </w:r>
      <w:r>
        <w:rPr>
          <w:lang w:val="en-US" w:bidi="fa-IR"/>
        </w:rPr>
        <w:t xml:space="preserve">) </w:t>
      </w:r>
      <w:r w:rsidRPr="00326CB5">
        <w:rPr>
          <w:lang w:val="en-US" w:bidi="fa-IR"/>
        </w:rPr>
        <w:t xml:space="preserve">and large </w:t>
      </w:r>
      <w:r>
        <w:rPr>
          <w:lang w:val="en-US" w:bidi="fa-IR"/>
        </w:rPr>
        <w:t>(r</w:t>
      </w:r>
      <w:r w:rsidRPr="003761AD">
        <w:rPr>
          <w:vertAlign w:val="subscript"/>
          <w:lang w:val="en-US" w:bidi="fa-IR"/>
        </w:rPr>
        <w:t>2</w:t>
      </w:r>
      <w:r>
        <w:rPr>
          <w:lang w:val="en-US" w:bidi="fa-IR"/>
        </w:rPr>
        <w:t xml:space="preserve">) </w:t>
      </w:r>
      <w:r w:rsidRPr="00326CB5">
        <w:rPr>
          <w:lang w:val="en-US" w:bidi="fa-IR"/>
        </w:rPr>
        <w:t xml:space="preserve">radii of the graphene ring, where the </w:t>
      </w:r>
      <w:r w:rsidRPr="00DA34D4">
        <w:rPr>
          <w:lang w:val="en-US" w:bidi="fa-IR"/>
        </w:rPr>
        <w:t>optimal result is obtained for</w:t>
      </w:r>
      <w:r>
        <w:rPr>
          <w:lang w:val="en-US" w:bidi="fa-IR"/>
        </w:rPr>
        <w:t xml:space="preserve"> </w:t>
      </w:r>
      <w:r w:rsidRPr="00326CB5">
        <w:rPr>
          <w:lang w:val="en-US" w:bidi="fa-IR"/>
        </w:rPr>
        <w:t>r</w:t>
      </w:r>
      <w:r w:rsidRPr="00326CB5">
        <w:rPr>
          <w:vertAlign w:val="subscript"/>
          <w:lang w:val="en-US" w:bidi="fa-IR"/>
        </w:rPr>
        <w:t>1</w:t>
      </w:r>
      <w:r w:rsidRPr="00326CB5">
        <w:rPr>
          <w:lang w:val="en-US" w:bidi="fa-IR"/>
        </w:rPr>
        <w:t xml:space="preserve"> = 60 nm and r</w:t>
      </w:r>
      <w:r w:rsidRPr="00326CB5">
        <w:rPr>
          <w:vertAlign w:val="subscript"/>
          <w:lang w:val="en-US" w:bidi="fa-IR"/>
        </w:rPr>
        <w:t>2</w:t>
      </w:r>
      <w:r w:rsidRPr="00326CB5">
        <w:rPr>
          <w:lang w:val="en-US" w:bidi="fa-IR"/>
        </w:rPr>
        <w:t xml:space="preserve"> = 95 nm</w:t>
      </w:r>
      <w:r>
        <w:rPr>
          <w:lang w:val="en-US" w:bidi="fa-IR"/>
        </w:rPr>
        <w:t xml:space="preserve">. </w:t>
      </w:r>
      <w:r w:rsidRPr="00326CB5">
        <w:rPr>
          <w:lang w:bidi="fa-IR"/>
        </w:rPr>
        <w:t>Also, in Fig</w:t>
      </w:r>
      <w:r>
        <w:rPr>
          <w:lang w:val="en-US" w:bidi="fa-IR"/>
        </w:rPr>
        <w:t>. 4</w:t>
      </w:r>
      <w:r w:rsidRPr="00326CB5">
        <w:rPr>
          <w:lang w:bidi="fa-IR"/>
        </w:rPr>
        <w:t>, the effect of the periodicity</w:t>
      </w:r>
      <w:r>
        <w:rPr>
          <w:lang w:val="en-US" w:bidi="fa-IR"/>
        </w:rPr>
        <w:t xml:space="preserve"> (p) </w:t>
      </w:r>
      <w:r w:rsidRPr="00326CB5">
        <w:rPr>
          <w:lang w:bidi="fa-IR"/>
        </w:rPr>
        <w:t xml:space="preserve">on the absorption spectrum is </w:t>
      </w:r>
      <w:r>
        <w:rPr>
          <w:lang w:val="en-US"/>
        </w:rPr>
        <w:t>shown</w:t>
      </w:r>
      <w:r>
        <w:rPr>
          <w:lang w:val="en-US" w:bidi="fa-IR"/>
        </w:rPr>
        <w:t xml:space="preserve">. </w:t>
      </w:r>
      <w:r w:rsidRPr="00805CFE">
        <w:rPr>
          <w:lang w:val="en-US" w:bidi="fa-IR"/>
        </w:rPr>
        <w:t>By increasing the period of the proposed device</w:t>
      </w:r>
      <w:r>
        <w:rPr>
          <w:lang w:val="en-US" w:bidi="fa-IR"/>
        </w:rPr>
        <w:t xml:space="preserve"> </w:t>
      </w:r>
      <w:r w:rsidRPr="00805CFE">
        <w:rPr>
          <w:lang w:val="en-US" w:bidi="fa-IR"/>
        </w:rPr>
        <w:t>from</w:t>
      </w:r>
      <w:r>
        <w:rPr>
          <w:lang w:val="en-US" w:bidi="fa-IR"/>
        </w:rPr>
        <w:t xml:space="preserve"> </w:t>
      </w:r>
      <w:r w:rsidRPr="00805CFE">
        <w:rPr>
          <w:lang w:val="en-US" w:bidi="fa-IR"/>
        </w:rPr>
        <w:t>400 to 700 nm,</w:t>
      </w:r>
      <w:r>
        <w:rPr>
          <w:lang w:val="en-US" w:bidi="fa-IR"/>
        </w:rPr>
        <w:t xml:space="preserve"> the </w:t>
      </w:r>
      <w:r w:rsidRPr="00805CFE">
        <w:rPr>
          <w:lang w:val="en-US" w:bidi="fa-IR"/>
        </w:rPr>
        <w:t>absorption rate of the structure gradually decreases</w:t>
      </w:r>
      <w:r>
        <w:rPr>
          <w:lang w:val="en-US" w:bidi="fa-IR"/>
        </w:rPr>
        <w:t xml:space="preserve"> </w:t>
      </w:r>
      <w:r w:rsidRPr="004C5FFF">
        <w:rPr>
          <w:lang w:val="en-US" w:bidi="fa-IR"/>
        </w:rPr>
        <w:t>due to the reduction of coupling between adjacent graphene rings.</w:t>
      </w:r>
      <w:r>
        <w:rPr>
          <w:lang w:val="en-US" w:bidi="fa-IR"/>
        </w:rPr>
        <w:t xml:space="preserve"> </w:t>
      </w:r>
    </w:p>
    <w:tbl>
      <w:tblPr>
        <w:tblStyle w:val="TableGrid"/>
        <w:tblW w:w="0pt" w:type="dxa"/>
        <w:jc w:val="center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4856"/>
      </w:tblGrid>
      <w:tr w:rsidR="00BD1ABD" w14:paraId="75AA124C" w14:textId="77777777" w:rsidTr="00BD1ABD">
        <w:trPr>
          <w:jc w:val="center"/>
        </w:trPr>
        <w:tc>
          <w:tcPr>
            <w:tcW w:w="242.80pt" w:type="dxa"/>
          </w:tcPr>
          <w:p w14:paraId="5545E68A" w14:textId="0A430F05" w:rsidR="00BD1ABD" w:rsidRDefault="00BD1ABD" w:rsidP="00BD1ABD">
            <w:pPr>
              <w:pStyle w:val="BodyText"/>
              <w:ind w:firstLine="0pt"/>
              <w:jc w:val="center"/>
              <w:rPr>
                <w:lang w:val="en-US" w:bidi="fa-IR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9A3FB32" wp14:editId="580F9550">
                  <wp:extent cx="1674545" cy="1296000"/>
                  <wp:effectExtent l="0" t="0" r="1905" b="0"/>
                  <wp:docPr id="11" name="Picture 11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545" cy="12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ABD" w14:paraId="70E55DCF" w14:textId="77777777" w:rsidTr="00BD1ABD">
        <w:trPr>
          <w:jc w:val="center"/>
        </w:trPr>
        <w:tc>
          <w:tcPr>
            <w:tcW w:w="242.80pt" w:type="dxa"/>
          </w:tcPr>
          <w:p w14:paraId="188CE978" w14:textId="031D8C2D" w:rsidR="00BD1ABD" w:rsidRPr="001B454F" w:rsidRDefault="00BD1ABD" w:rsidP="00BD1ABD">
            <w:pPr>
              <w:pStyle w:val="BodyText"/>
              <w:ind w:firstLine="0pt"/>
              <w:jc w:val="center"/>
              <w:rPr>
                <w:sz w:val="16"/>
                <w:szCs w:val="16"/>
                <w:lang w:val="en-US" w:bidi="fa-IR"/>
              </w:rPr>
            </w:pPr>
            <w:r w:rsidRPr="001B454F">
              <w:rPr>
                <w:sz w:val="16"/>
                <w:szCs w:val="16"/>
                <w:lang w:val="en-US" w:bidi="fa-IR"/>
              </w:rPr>
              <w:t>(a)</w:t>
            </w:r>
          </w:p>
        </w:tc>
      </w:tr>
      <w:tr w:rsidR="00BD1ABD" w14:paraId="5C249ECB" w14:textId="77777777" w:rsidTr="00BD1ABD">
        <w:trPr>
          <w:jc w:val="center"/>
        </w:trPr>
        <w:tc>
          <w:tcPr>
            <w:tcW w:w="242.80pt" w:type="dxa"/>
          </w:tcPr>
          <w:p w14:paraId="2A4CB766" w14:textId="3ABF5330" w:rsidR="00BD1ABD" w:rsidRPr="001B454F" w:rsidRDefault="00BD1ABD" w:rsidP="00BD1ABD">
            <w:pPr>
              <w:pStyle w:val="BodyText"/>
              <w:ind w:firstLine="0pt"/>
              <w:jc w:val="center"/>
              <w:rPr>
                <w:sz w:val="16"/>
                <w:szCs w:val="16"/>
                <w:lang w:val="en-US" w:bidi="fa-IR"/>
              </w:rPr>
            </w:pPr>
            <w:r w:rsidRPr="001B454F">
              <w:rPr>
                <w:noProof/>
                <w:sz w:val="16"/>
                <w:szCs w:val="16"/>
                <w:lang w:val="en-GB" w:eastAsia="en-GB"/>
              </w:rPr>
              <w:drawing>
                <wp:inline distT="0" distB="0" distL="0" distR="0" wp14:anchorId="58E72816" wp14:editId="7220EE43">
                  <wp:extent cx="1116299" cy="972000"/>
                  <wp:effectExtent l="0" t="0" r="8255" b="0"/>
                  <wp:docPr id="12" name="Picture 12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299" cy="9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ABD" w14:paraId="294E8D5D" w14:textId="77777777" w:rsidTr="00BD1ABD">
        <w:trPr>
          <w:jc w:val="center"/>
        </w:trPr>
        <w:tc>
          <w:tcPr>
            <w:tcW w:w="242.80pt" w:type="dxa"/>
          </w:tcPr>
          <w:p w14:paraId="03ECAA51" w14:textId="7D647FB0" w:rsidR="00BD1ABD" w:rsidRPr="001B454F" w:rsidRDefault="00BD1ABD" w:rsidP="00BD1ABD">
            <w:pPr>
              <w:pStyle w:val="BodyText"/>
              <w:ind w:firstLine="0pt"/>
              <w:jc w:val="center"/>
              <w:rPr>
                <w:sz w:val="16"/>
                <w:szCs w:val="16"/>
                <w:lang w:val="en-US" w:bidi="fa-IR"/>
              </w:rPr>
            </w:pPr>
            <w:r w:rsidRPr="001B454F">
              <w:rPr>
                <w:sz w:val="16"/>
                <w:szCs w:val="16"/>
                <w:lang w:val="en-US" w:bidi="fa-IR"/>
              </w:rPr>
              <w:t>(b)</w:t>
            </w:r>
          </w:p>
        </w:tc>
      </w:tr>
      <w:tr w:rsidR="00BD1ABD" w14:paraId="0C6A7216" w14:textId="77777777" w:rsidTr="00BD1ABD">
        <w:trPr>
          <w:jc w:val="center"/>
        </w:trPr>
        <w:tc>
          <w:tcPr>
            <w:tcW w:w="242.80pt" w:type="dxa"/>
          </w:tcPr>
          <w:p w14:paraId="4591FB82" w14:textId="44044A40" w:rsidR="00BD1ABD" w:rsidRPr="001B454F" w:rsidRDefault="00BD1ABD" w:rsidP="005E0CD7">
            <w:pPr>
              <w:pStyle w:val="figurecaption"/>
              <w:numPr>
                <w:ilvl w:val="0"/>
                <w:numId w:val="0"/>
              </w:numPr>
              <w:rPr>
                <w:lang w:bidi="fa-IR"/>
              </w:rPr>
            </w:pPr>
            <w:r w:rsidRPr="001B454F">
              <w:rPr>
                <w:lang w:bidi="fa-IR"/>
              </w:rPr>
              <w:t>Fig. 1. (a)</w:t>
            </w:r>
            <w:r w:rsidR="00EC0C55">
              <w:rPr>
                <w:lang w:bidi="fa-IR"/>
              </w:rPr>
              <w:t xml:space="preserve"> T</w:t>
            </w:r>
            <w:r w:rsidR="005E0CD7" w:rsidRPr="004A4877">
              <w:t>hree-dimensional view</w:t>
            </w:r>
            <w:r w:rsidR="005E0CD7">
              <w:t xml:space="preserve"> </w:t>
            </w:r>
            <w:r w:rsidRPr="001B454F">
              <w:rPr>
                <w:lang w:bidi="fa-IR"/>
              </w:rPr>
              <w:t>and (b) top view of a</w:t>
            </w:r>
            <w:r w:rsidR="005E0CD7">
              <w:rPr>
                <w:lang w:bidi="fa-IR"/>
              </w:rPr>
              <w:t xml:space="preserve"> </w:t>
            </w:r>
            <w:r w:rsidR="005E0CD7" w:rsidRPr="005E0CD7">
              <w:rPr>
                <w:lang w:bidi="fa-IR"/>
              </w:rPr>
              <w:t>graphene-based narrow band absorber unit cell</w:t>
            </w:r>
            <w:r w:rsidRPr="001B454F">
              <w:rPr>
                <w:lang w:bidi="fa-IR"/>
              </w:rPr>
              <w:t>. t</w:t>
            </w:r>
            <w:r w:rsidRPr="001B454F">
              <w:rPr>
                <w:vertAlign w:val="subscript"/>
                <w:lang w:bidi="fa-IR"/>
              </w:rPr>
              <w:t>1</w:t>
            </w:r>
            <w:r w:rsidRPr="001B454F">
              <w:rPr>
                <w:lang w:bidi="fa-IR"/>
              </w:rPr>
              <w:t>= 800 nm, t</w:t>
            </w:r>
            <w:r w:rsidRPr="001B454F">
              <w:rPr>
                <w:vertAlign w:val="subscript"/>
                <w:lang w:bidi="fa-IR"/>
              </w:rPr>
              <w:t>2</w:t>
            </w:r>
            <w:r w:rsidRPr="001B454F">
              <w:rPr>
                <w:lang w:bidi="fa-IR"/>
              </w:rPr>
              <w:t>= 1300 nm, p= 400 nm, r</w:t>
            </w:r>
            <w:r w:rsidRPr="001B454F">
              <w:rPr>
                <w:vertAlign w:val="subscript"/>
                <w:lang w:bidi="fa-IR"/>
              </w:rPr>
              <w:t>1</w:t>
            </w:r>
            <w:r w:rsidRPr="001B454F">
              <w:rPr>
                <w:lang w:bidi="fa-IR"/>
              </w:rPr>
              <w:t>= 60 nm, r</w:t>
            </w:r>
            <w:r w:rsidRPr="001B454F">
              <w:rPr>
                <w:vertAlign w:val="subscript"/>
                <w:lang w:bidi="fa-IR"/>
              </w:rPr>
              <w:t>2</w:t>
            </w:r>
            <w:r w:rsidRPr="001B454F">
              <w:rPr>
                <w:lang w:bidi="fa-IR"/>
              </w:rPr>
              <w:t>= 95 nm, and r= 140 nm.</w:t>
            </w:r>
          </w:p>
        </w:tc>
      </w:tr>
    </w:tbl>
    <w:p w14:paraId="314C4FDD" w14:textId="77777777" w:rsidR="00BD1ABD" w:rsidRDefault="00BD1ABD" w:rsidP="00115736">
      <w:pPr>
        <w:pStyle w:val="BodyText"/>
        <w:ind w:firstLine="0pt"/>
        <w:rPr>
          <w:lang w:val="en-US" w:bidi="fa-IR"/>
        </w:rPr>
      </w:pPr>
    </w:p>
    <w:p w14:paraId="6092D1DB" w14:textId="77777777" w:rsidR="00664D8B" w:rsidRDefault="00664D8B" w:rsidP="00835BEA">
      <w:pPr>
        <w:pStyle w:val="BodyText"/>
        <w:ind w:hanging="21.30pt"/>
        <w:rPr>
          <w:lang w:val="en-US" w:bidi="fa-IR"/>
        </w:rPr>
      </w:pPr>
    </w:p>
    <w:p w14:paraId="7FB6C485" w14:textId="77777777" w:rsidR="001B454F" w:rsidRDefault="001B454F" w:rsidP="001B454F">
      <w:pPr>
        <w:pStyle w:val="BodyText"/>
        <w:ind w:firstLine="0pt"/>
        <w:rPr>
          <w:lang w:val="en-US" w:bidi="fa-IR"/>
        </w:rPr>
      </w:pPr>
    </w:p>
    <w:p w14:paraId="51D1B7A6" w14:textId="610E6147" w:rsidR="001B454F" w:rsidRDefault="001B454F" w:rsidP="001B454F">
      <w:pPr>
        <w:pStyle w:val="BodyText"/>
        <w:ind w:firstLine="0pt"/>
        <w:rPr>
          <w:lang w:val="en-US" w:bidi="fa-IR"/>
        </w:rPr>
        <w:sectPr w:rsidR="001B454F" w:rsidSect="00664D8B">
          <w:type w:val="continuous"/>
          <w:pgSz w:w="595.30pt" w:h="841.90pt" w:code="9"/>
          <w:pgMar w:top="54pt" w:right="45.35pt" w:bottom="72pt" w:left="45.35pt" w:header="36pt" w:footer="36pt" w:gutter="0pt"/>
          <w:cols w:num="2" w:space="18pt"/>
          <w:docGrid w:linePitch="360"/>
        </w:sectPr>
      </w:pPr>
    </w:p>
    <w:p w14:paraId="5C54F982" w14:textId="52F9BCED" w:rsidR="00F84119" w:rsidRPr="00CA6C26" w:rsidRDefault="00F84119" w:rsidP="000D0223">
      <w:pPr>
        <w:pStyle w:val="BodyText"/>
        <w:ind w:end="-9.20pt" w:hanging="21.30pt"/>
        <w:jc w:val="center"/>
        <w:rPr>
          <w:lang w:val="en-US" w:bidi="fa-IR"/>
        </w:rPr>
      </w:pPr>
      <w:r w:rsidRPr="00D606D5">
        <w:rPr>
          <w:noProof/>
          <w:lang w:val="en-GB" w:eastAsia="en-GB"/>
        </w:rPr>
        <w:drawing>
          <wp:inline distT="0" distB="0" distL="0" distR="0" wp14:anchorId="20F49BF1" wp14:editId="14C526D4">
            <wp:extent cx="4027315" cy="1980000"/>
            <wp:effectExtent l="0" t="0" r="0" b="1270"/>
            <wp:docPr id="15" name="Picture 1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5" name="Picture 15"/>
                    <pic:cNvPicPr/>
                  </pic:nvPicPr>
                  <pic:blipFill rotWithShape="1"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.868%" r="6.353%"/>
                    <a:stretch/>
                  </pic:blipFill>
                  <pic:spPr bwMode="auto">
                    <a:xfrm>
                      <a:off x="0" y="0"/>
                      <a:ext cx="4027315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5F076F" w14:textId="63003BD6" w:rsidR="00115736" w:rsidRPr="00F84119" w:rsidRDefault="00F84119" w:rsidP="00F84119">
      <w:pPr>
        <w:pStyle w:val="figurecaption"/>
        <w:numPr>
          <w:ilvl w:val="0"/>
          <w:numId w:val="0"/>
        </w:numPr>
        <w:jc w:val="center"/>
        <w:rPr>
          <w:lang w:bidi="fa-IR"/>
        </w:rPr>
      </w:pPr>
      <w:r>
        <w:rPr>
          <w:lang w:bidi="fa-IR"/>
        </w:rPr>
        <w:t xml:space="preserve">Fig. 2. </w:t>
      </w:r>
      <w:r w:rsidR="00C552DB" w:rsidRPr="00C552DB">
        <w:rPr>
          <w:lang w:bidi="fa-IR"/>
        </w:rPr>
        <w:t>Absorption curve of the structure of Fig</w:t>
      </w:r>
      <w:r w:rsidR="00C552DB">
        <w:rPr>
          <w:lang w:bidi="fa-IR"/>
        </w:rPr>
        <w:t>.</w:t>
      </w:r>
      <w:r w:rsidR="00C552DB" w:rsidRPr="00C552DB">
        <w:rPr>
          <w:lang w:bidi="fa-IR"/>
        </w:rPr>
        <w:t xml:space="preserve"> 1 for</w:t>
      </w:r>
      <w:r w:rsidR="00C552DB">
        <w:rPr>
          <w:lang w:bidi="fa-IR"/>
        </w:rPr>
        <w:t xml:space="preserve"> </w:t>
      </w:r>
      <w:r w:rsidR="00C552DB" w:rsidRPr="00C552DB">
        <w:rPr>
          <w:lang w:bidi="fa-IR"/>
        </w:rPr>
        <w:t xml:space="preserve">chemical potential of </w:t>
      </w:r>
      <w:r w:rsidR="00C552DB">
        <w:rPr>
          <w:lang w:bidi="fa-IR"/>
        </w:rPr>
        <w:t xml:space="preserve"> </w:t>
      </w:r>
      <w:r w:rsidR="00105CDC">
        <w:rPr>
          <w:lang w:bidi="fa-IR"/>
        </w:rPr>
        <w:t>1</w:t>
      </w:r>
      <w:r w:rsidR="00C552DB">
        <w:rPr>
          <w:lang w:bidi="fa-IR"/>
        </w:rPr>
        <w:t>eV</w:t>
      </w:r>
      <w:r>
        <w:rPr>
          <w:lang w:bidi="fa-IR"/>
        </w:rPr>
        <w:t>.</w:t>
      </w:r>
    </w:p>
    <w:p w14:paraId="2C4EDC4E" w14:textId="77777777" w:rsidR="00664D8B" w:rsidRDefault="00664D8B" w:rsidP="00F70552">
      <w:pPr>
        <w:pStyle w:val="BodyText"/>
        <w:ind w:firstLine="14.45pt"/>
        <w:rPr>
          <w:lang w:val="en-US" w:bidi="fa-IR"/>
        </w:rPr>
        <w:sectPr w:rsidR="00664D8B" w:rsidSect="001E79E3">
          <w:type w:val="continuous"/>
          <w:pgSz w:w="595.30pt" w:h="841.90pt" w:code="9"/>
          <w:pgMar w:top="54pt" w:right="45.35pt" w:bottom="72pt" w:left="45.35pt" w:header="36pt" w:footer="36pt" w:gutter="0pt"/>
          <w:cols w:space="18pt"/>
          <w:docGrid w:linePitch="360"/>
        </w:sectPr>
      </w:pPr>
    </w:p>
    <w:p w14:paraId="710A1CA4" w14:textId="4671B655" w:rsidR="00F70552" w:rsidRDefault="00F70552" w:rsidP="00F70552">
      <w:pPr>
        <w:pStyle w:val="BodyText"/>
        <w:ind w:firstLine="14.45pt"/>
        <w:rPr>
          <w:lang w:val="en-US" w:bidi="fa-IR"/>
        </w:rPr>
      </w:pPr>
      <w:r w:rsidRPr="007C2014">
        <w:rPr>
          <w:lang w:val="en-US" w:bidi="fa-IR"/>
        </w:rPr>
        <w:t>In Fig.</w:t>
      </w:r>
      <w:r w:rsidR="00D54936">
        <w:rPr>
          <w:lang w:val="en-US" w:bidi="fa-IR"/>
        </w:rPr>
        <w:t xml:space="preserve"> </w:t>
      </w:r>
      <w:r w:rsidRPr="007C2014">
        <w:rPr>
          <w:lang w:val="en-US" w:bidi="fa-IR"/>
        </w:rPr>
        <w:t xml:space="preserve">5, </w:t>
      </w:r>
      <w:r w:rsidR="00805CFE">
        <w:rPr>
          <w:lang w:val="en-US" w:bidi="fa-IR"/>
        </w:rPr>
        <w:t>the</w:t>
      </w:r>
      <w:r w:rsidR="00805CFE" w:rsidRPr="00805CFE">
        <w:rPr>
          <w:lang w:val="en-US" w:bidi="fa-IR"/>
        </w:rPr>
        <w:t xml:space="preserve"> performance of the designed device</w:t>
      </w:r>
      <w:r w:rsidR="00805CFE">
        <w:rPr>
          <w:lang w:val="en-US" w:bidi="fa-IR"/>
        </w:rPr>
        <w:t xml:space="preserve"> is </w:t>
      </w:r>
      <w:r w:rsidR="00805CFE" w:rsidRPr="00805CFE">
        <w:rPr>
          <w:lang w:val="en-US" w:bidi="fa-IR"/>
        </w:rPr>
        <w:t>evaluated for chemical potentials</w:t>
      </w:r>
      <w:r w:rsidR="00805CFE">
        <w:rPr>
          <w:lang w:val="en-US" w:bidi="fa-IR"/>
        </w:rPr>
        <w:t xml:space="preserve"> (</w:t>
      </w:r>
      <w:r w:rsidR="00805CFE" w:rsidRPr="007C2014">
        <w:rPr>
          <w:i/>
          <w:iCs/>
          <w:lang w:val="en-US" w:bidi="fa-IR"/>
        </w:rPr>
        <w:t>µ</w:t>
      </w:r>
      <w:r w:rsidR="00805CFE" w:rsidRPr="007C2014">
        <w:rPr>
          <w:i/>
          <w:iCs/>
          <w:vertAlign w:val="subscript"/>
          <w:lang w:val="en-US" w:bidi="fa-IR"/>
        </w:rPr>
        <w:t>c</w:t>
      </w:r>
      <w:r w:rsidR="00805CFE">
        <w:rPr>
          <w:lang w:val="en-US" w:bidi="fa-IR"/>
        </w:rPr>
        <w:t>) 0.6</w:t>
      </w:r>
      <w:r w:rsidR="00805CFE" w:rsidRPr="00805CFE">
        <w:rPr>
          <w:lang w:val="en-US" w:bidi="fa-IR"/>
        </w:rPr>
        <w:t xml:space="preserve">, </w:t>
      </w:r>
      <w:r w:rsidR="00805CFE">
        <w:rPr>
          <w:lang w:val="en-US" w:bidi="fa-IR"/>
        </w:rPr>
        <w:t>0.8</w:t>
      </w:r>
      <w:r w:rsidR="00EC0C55">
        <w:rPr>
          <w:lang w:val="en-US" w:bidi="fa-IR"/>
        </w:rPr>
        <w:t xml:space="preserve">, </w:t>
      </w:r>
      <w:r w:rsidR="00805CFE" w:rsidRPr="00805CFE">
        <w:rPr>
          <w:lang w:val="en-US" w:bidi="fa-IR"/>
        </w:rPr>
        <w:t>and</w:t>
      </w:r>
      <w:r w:rsidR="00805CFE">
        <w:rPr>
          <w:lang w:val="en-US" w:bidi="fa-IR"/>
        </w:rPr>
        <w:t xml:space="preserve"> 1 eV</w:t>
      </w:r>
      <w:r w:rsidR="00805CFE" w:rsidRPr="00805CFE">
        <w:rPr>
          <w:lang w:val="en-US" w:bidi="fa-IR"/>
        </w:rPr>
        <w:t>.</w:t>
      </w:r>
      <w:r w:rsidR="00805CFE">
        <w:rPr>
          <w:lang w:val="en-US" w:bidi="fa-IR"/>
        </w:rPr>
        <w:t xml:space="preserve"> </w:t>
      </w:r>
      <w:r w:rsidRPr="007C2014">
        <w:rPr>
          <w:lang w:val="en-US" w:bidi="fa-IR"/>
        </w:rPr>
        <w:t xml:space="preserve">Since the carrier density increases with increasing </w:t>
      </w:r>
      <w:r w:rsidRPr="007C2014">
        <w:rPr>
          <w:i/>
          <w:iCs/>
          <w:lang w:val="en-US" w:bidi="fa-IR"/>
        </w:rPr>
        <w:t>µ</w:t>
      </w:r>
      <w:r w:rsidRPr="007C2014">
        <w:rPr>
          <w:i/>
          <w:iCs/>
          <w:vertAlign w:val="subscript"/>
          <w:lang w:val="en-US" w:bidi="fa-IR"/>
        </w:rPr>
        <w:t>c</w:t>
      </w:r>
      <w:r w:rsidRPr="007C2014">
        <w:rPr>
          <w:lang w:val="en-US" w:bidi="fa-IR"/>
        </w:rPr>
        <w:t>, the absorption value</w:t>
      </w:r>
      <w:r w:rsidR="0010352F">
        <w:rPr>
          <w:lang w:val="en-US" w:bidi="fa-IR"/>
        </w:rPr>
        <w:t xml:space="preserve"> </w:t>
      </w:r>
      <w:r w:rsidRPr="007C2014">
        <w:rPr>
          <w:lang w:val="en-US" w:bidi="fa-IR"/>
        </w:rPr>
        <w:t>increases.</w:t>
      </w:r>
      <w:r w:rsidR="0010352F">
        <w:rPr>
          <w:lang w:val="en-US" w:bidi="fa-IR"/>
        </w:rPr>
        <w:t xml:space="preserve"> </w:t>
      </w:r>
      <w:r w:rsidRPr="007C2014">
        <w:rPr>
          <w:lang w:val="en-US" w:bidi="fa-IR"/>
        </w:rPr>
        <w:t>Also,</w:t>
      </w:r>
      <w:r w:rsidR="0010352F">
        <w:rPr>
          <w:lang w:val="en-US" w:bidi="fa-IR"/>
        </w:rPr>
        <w:t xml:space="preserve"> </w:t>
      </w:r>
      <w:r w:rsidRPr="007C2014">
        <w:rPr>
          <w:lang w:val="en-US" w:bidi="fa-IR"/>
        </w:rPr>
        <w:t xml:space="preserve">with increasing </w:t>
      </w:r>
      <w:r w:rsidRPr="007C2014">
        <w:rPr>
          <w:i/>
          <w:iCs/>
          <w:lang w:val="en-US" w:bidi="fa-IR"/>
        </w:rPr>
        <w:t>µ</w:t>
      </w:r>
      <w:r w:rsidRPr="007C2014">
        <w:rPr>
          <w:i/>
          <w:iCs/>
          <w:vertAlign w:val="subscript"/>
          <w:lang w:val="en-US" w:bidi="fa-IR"/>
        </w:rPr>
        <w:t>c</w:t>
      </w:r>
      <w:r w:rsidRPr="007C2014">
        <w:rPr>
          <w:lang w:val="en-US" w:bidi="fa-IR"/>
        </w:rPr>
        <w:t>,</w:t>
      </w:r>
      <w:r w:rsidR="00805CFE">
        <w:rPr>
          <w:lang w:val="en-US" w:bidi="fa-IR"/>
        </w:rPr>
        <w:t xml:space="preserve"> </w:t>
      </w:r>
      <w:r w:rsidR="005C001A" w:rsidRPr="005C001A">
        <w:rPr>
          <w:lang w:val="en-US" w:bidi="fa-IR"/>
        </w:rPr>
        <w:t>the operating wavelength of the designed device decreases</w:t>
      </w:r>
      <w:r w:rsidRPr="007C2014">
        <w:rPr>
          <w:lang w:val="en-US" w:bidi="fa-IR"/>
        </w:rPr>
        <w:t xml:space="preserve">, which of </w:t>
      </w:r>
      <w:proofErr w:type="gramStart"/>
      <w:r w:rsidRPr="007C2014">
        <w:rPr>
          <w:lang w:val="en-US" w:bidi="fa-IR"/>
        </w:rPr>
        <w:t>these feature</w:t>
      </w:r>
      <w:proofErr w:type="gramEnd"/>
      <w:r w:rsidRPr="007C2014">
        <w:rPr>
          <w:lang w:val="en-US" w:bidi="fa-IR"/>
        </w:rPr>
        <w:t xml:space="preserve"> is referred to as the tunability of the structure.</w:t>
      </w:r>
      <w:r>
        <w:rPr>
          <w:lang w:val="en-US" w:bidi="fa-IR"/>
        </w:rPr>
        <w:t xml:space="preserve"> </w:t>
      </w:r>
    </w:p>
    <w:p w14:paraId="24E7E6FC" w14:textId="1F2AE1BE" w:rsidR="001E79E3" w:rsidRDefault="001C043C" w:rsidP="00FA4454">
      <w:pPr>
        <w:pStyle w:val="BodyText"/>
        <w:spacing w:after="0pt"/>
        <w:ind w:firstLine="14.45pt"/>
        <w:rPr>
          <w:lang w:val="en-US" w:bidi="fa-IR"/>
        </w:rPr>
      </w:pPr>
      <w:r w:rsidRPr="001C043C">
        <w:rPr>
          <w:lang w:val="en-US" w:bidi="fa-IR"/>
        </w:rPr>
        <w:t>The absorption curve of the proposed device for different relaxation times</w:t>
      </w:r>
      <w:r>
        <w:rPr>
          <w:lang w:val="en-US" w:bidi="fa-IR"/>
        </w:rPr>
        <w:t xml:space="preserve"> (</w:t>
      </w:r>
      <w:r w:rsidRPr="007C2014">
        <w:rPr>
          <w:i/>
          <w:iCs/>
          <w:lang w:val="en-US" w:bidi="fa-IR"/>
        </w:rPr>
        <w:t>τ</w:t>
      </w:r>
      <w:r>
        <w:rPr>
          <w:lang w:val="en-US" w:bidi="fa-IR"/>
        </w:rPr>
        <w:t>)</w:t>
      </w:r>
      <w:r w:rsidR="0010352F">
        <w:rPr>
          <w:lang w:val="en-US" w:bidi="fa-IR"/>
        </w:rPr>
        <w:t xml:space="preserve"> of</w:t>
      </w:r>
      <w:r w:rsidRPr="001C043C">
        <w:rPr>
          <w:lang w:val="en-US" w:bidi="fa-IR"/>
        </w:rPr>
        <w:t xml:space="preserve"> </w:t>
      </w:r>
      <w:r>
        <w:rPr>
          <w:lang w:val="en-US" w:bidi="fa-IR"/>
        </w:rPr>
        <w:t>0.2</w:t>
      </w:r>
      <w:r w:rsidRPr="001C043C">
        <w:rPr>
          <w:lang w:val="en-US" w:bidi="fa-IR"/>
        </w:rPr>
        <w:t xml:space="preserve">, </w:t>
      </w:r>
      <w:r>
        <w:rPr>
          <w:lang w:val="en-US" w:bidi="fa-IR"/>
        </w:rPr>
        <w:t>0.6</w:t>
      </w:r>
      <w:r w:rsidR="00EC0C55">
        <w:rPr>
          <w:lang w:val="en-US" w:bidi="fa-IR"/>
        </w:rPr>
        <w:t xml:space="preserve">, </w:t>
      </w:r>
      <w:r w:rsidRPr="001C043C">
        <w:rPr>
          <w:lang w:val="en-US" w:bidi="fa-IR"/>
        </w:rPr>
        <w:t xml:space="preserve">and </w:t>
      </w:r>
      <w:r>
        <w:rPr>
          <w:lang w:val="en-US" w:bidi="fa-IR"/>
        </w:rPr>
        <w:t>1</w:t>
      </w:r>
      <w:r w:rsidR="0013533A">
        <w:rPr>
          <w:lang w:val="en-US" w:bidi="fa-IR"/>
        </w:rPr>
        <w:t xml:space="preserve"> </w:t>
      </w:r>
      <w:proofErr w:type="spellStart"/>
      <w:r>
        <w:rPr>
          <w:lang w:val="en-US" w:bidi="fa-IR"/>
        </w:rPr>
        <w:t>ps</w:t>
      </w:r>
      <w:proofErr w:type="spellEnd"/>
      <w:r w:rsidRPr="001C043C">
        <w:rPr>
          <w:lang w:val="en-US" w:bidi="fa-IR"/>
        </w:rPr>
        <w:t xml:space="preserve"> is shown in Fig</w:t>
      </w:r>
      <w:r>
        <w:rPr>
          <w:lang w:val="en-US" w:bidi="fa-IR"/>
        </w:rPr>
        <w:t>.</w:t>
      </w:r>
      <w:r w:rsidRPr="001C043C">
        <w:rPr>
          <w:lang w:val="en-US" w:bidi="fa-IR"/>
        </w:rPr>
        <w:t xml:space="preserve"> 6</w:t>
      </w:r>
      <w:r w:rsidR="00F70552" w:rsidRPr="007C2014">
        <w:rPr>
          <w:lang w:val="en-US" w:bidi="fa-IR"/>
        </w:rPr>
        <w:t>, which shows that with increasing relaxation time, the absorption value increases due to the increase in charges on the graphene surface.</w:t>
      </w:r>
    </w:p>
    <w:p w14:paraId="21AC9839" w14:textId="7B09EB60" w:rsidR="00F70552" w:rsidRPr="00A449F7" w:rsidRDefault="00271AE1" w:rsidP="00A449F7">
      <w:pPr>
        <w:pStyle w:val="BodyText"/>
        <w:rPr>
          <w:rtl/>
          <w:lang w:bidi="fa-IR"/>
        </w:rPr>
      </w:pPr>
      <w:r w:rsidRPr="00271AE1">
        <w:t>A test material with a thickness of 20 nm</w:t>
      </w:r>
      <w:r>
        <w:rPr>
          <w:lang w:val="en-US"/>
        </w:rPr>
        <w:t xml:space="preserve"> </w:t>
      </w:r>
      <w:r w:rsidRPr="00271AE1">
        <w:t>is placed on top of the designed device, and the absorption curve of the designed device for different refractive indices of 1, 1.2, 1.4</w:t>
      </w:r>
      <w:r w:rsidR="00EC0C55">
        <w:rPr>
          <w:lang w:val="en-US"/>
        </w:rPr>
        <w:t xml:space="preserve">, </w:t>
      </w:r>
      <w:r w:rsidRPr="00271AE1">
        <w:t>and 1.6 is shown in Fig</w:t>
      </w:r>
      <w:r>
        <w:rPr>
          <w:lang w:val="en-US"/>
        </w:rPr>
        <w:t>.</w:t>
      </w:r>
      <w:r w:rsidRPr="00271AE1">
        <w:t xml:space="preserve"> 7.</w:t>
      </w:r>
      <w:r w:rsidR="00A449F7">
        <w:rPr>
          <w:lang w:val="en-US"/>
        </w:rPr>
        <w:t xml:space="preserve"> </w:t>
      </w:r>
      <w:r w:rsidRPr="00271AE1">
        <w:rPr>
          <w:lang w:val="en-US"/>
        </w:rPr>
        <w:t xml:space="preserve">The sensitivity of the designed </w:t>
      </w:r>
      <w:r w:rsidRPr="00271AE1">
        <w:rPr>
          <w:lang w:val="en-US"/>
        </w:rPr>
        <w:t xml:space="preserve">sensor is calculated according to formula </w:t>
      </w:r>
      <w:r w:rsidRPr="007C2014">
        <w:rPr>
          <w:position w:val="-22"/>
        </w:rPr>
        <mc:AlternateContent>
          <mc:Choice Requires="v">
            <w:object w:dxaOrig="33pt" w:dyaOrig="28pt" w14:anchorId="3D40A391">
              <v:shape id="_x0000_i1033" type="#_x0000_t75" style="width:33.1pt;height:27.25pt" o:ole="">
                <v:imagedata r:id="rId37" o:title=""/>
              </v:shape>
              <o:OLEObject Type="Embed" ProgID="Equation.DSMT4" ShapeID="_x0000_i1033" DrawAspect="Content" ObjectID="_1826994386" r:id="rId38"/>
            </w:object>
          </mc:Choice>
          <mc:Fallback>
            <w:object>
              <w:drawing>
                <wp:inline distT="0" distB="0" distL="0" distR="0" wp14:anchorId="7B6A0359" wp14:editId="18F22CF7">
                  <wp:extent cx="420370" cy="346075"/>
                  <wp:effectExtent l="0" t="0" r="0" b="0"/>
                  <wp:docPr id="9" name="Object 9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9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6" isActiveX="0" linkType=""/>
                              </a:ext>
                            </a:extLst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4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38" w:progId="Equation.DSMT4" w:shapeId="9" w:fieldCodes=""/>
            </w:object>
          </mc:Fallback>
        </mc:AlternateContent>
      </w:r>
      <w:r w:rsidRPr="007C2014">
        <w:rPr>
          <w:lang w:val="en-US"/>
        </w:rPr>
        <w:t>, where</w:t>
      </w:r>
      <w:r w:rsidR="00A449F7">
        <w:rPr>
          <w:lang w:val="en-US"/>
        </w:rPr>
        <w:t xml:space="preserve"> </w:t>
      </w:r>
      <w:r w:rsidR="00A449F7" w:rsidRPr="009F3223">
        <w:rPr>
          <w:position w:val="-6"/>
        </w:rPr>
        <mc:AlternateContent>
          <mc:Choice Requires="v">
            <w:object w:dxaOrig="15pt" w:dyaOrig="12pt" w14:anchorId="53F67C57">
              <v:shape id="_x0000_i1034" type="#_x0000_t75" style="width:17.5pt;height:11.7pt" o:ole="">
                <v:imagedata r:id="rId40" o:title=""/>
              </v:shape>
              <o:OLEObject Type="Embed" ProgID="Equation.DSMT4" ShapeID="_x0000_i1034" DrawAspect="Content" ObjectID="_1826994387" r:id="rId41"/>
            </w:object>
          </mc:Choice>
          <mc:Fallback>
            <w:object>
              <w:drawing>
                <wp:inline distT="0" distB="0" distL="0" distR="0" wp14:anchorId="78AE8705" wp14:editId="103A08B5">
                  <wp:extent cx="222250" cy="148590"/>
                  <wp:effectExtent l="0" t="0" r="6350" b="3810"/>
                  <wp:docPr id="10" name="Object 10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10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7" isActiveX="0" linkType=""/>
                              </a:ext>
                            </a:extLst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41" w:progId="Equation.DSMT4" w:shapeId="10" w:fieldCodes=""/>
            </w:object>
          </mc:Fallback>
        </mc:AlternateContent>
      </w:r>
      <w:r w:rsidR="00A449F7">
        <w:rPr>
          <w:lang w:val="en-US"/>
        </w:rPr>
        <w:t xml:space="preserve"> and</w:t>
      </w:r>
      <w:r w:rsidR="00547969">
        <w:rPr>
          <w:lang w:val="en-US"/>
        </w:rPr>
        <w:t xml:space="preserve"> </w:t>
      </w:r>
      <w:r w:rsidRPr="007C2014">
        <w:rPr>
          <w:position w:val="-6"/>
        </w:rPr>
        <mc:AlternateContent>
          <mc:Choice Requires="v">
            <w:object w:dxaOrig="16pt" w:dyaOrig="12pt" w14:anchorId="73CFD88D">
              <v:shape id="_x0000_i1035" type="#_x0000_t75" style="width:17.5pt;height:11.7pt" o:ole="">
                <v:imagedata r:id="rId43" o:title=""/>
              </v:shape>
              <o:OLEObject Type="Embed" ProgID="Equation.DSMT4" ShapeID="_x0000_i1035" DrawAspect="Content" ObjectID="_1826994388" r:id="rId44"/>
            </w:object>
          </mc:Choice>
          <mc:Fallback>
            <w:object>
              <w:drawing>
                <wp:inline distT="0" distB="0" distL="0" distR="0" wp14:anchorId="54037CD6" wp14:editId="13E1F703">
                  <wp:extent cx="222250" cy="148590"/>
                  <wp:effectExtent l="0" t="0" r="6350" b="3810"/>
                  <wp:docPr id="1" name="Object 11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11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8" isActiveX="0" linkType=""/>
                              </a:ext>
                            </a:extLst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44" w:progId="Equation.DSMT4" w:shapeId="1" w:fieldCodes=""/>
            </w:object>
          </mc:Fallback>
        </mc:AlternateContent>
      </w:r>
      <w:r w:rsidRPr="007C2014">
        <w:rPr>
          <w:lang w:val="en-US"/>
        </w:rPr>
        <w:t xml:space="preserve"> are the changes in the</w:t>
      </w:r>
      <w:r w:rsidR="00A449F7">
        <w:rPr>
          <w:lang w:val="en-US"/>
        </w:rPr>
        <w:t xml:space="preserve"> </w:t>
      </w:r>
      <w:r w:rsidR="00A449F7" w:rsidRPr="007C2014">
        <w:rPr>
          <w:lang w:val="en-US"/>
        </w:rPr>
        <w:t>refractive index</w:t>
      </w:r>
      <w:r w:rsidR="00A449F7">
        <w:rPr>
          <w:lang w:val="en-US"/>
        </w:rPr>
        <w:t xml:space="preserve"> </w:t>
      </w:r>
      <w:r w:rsidR="00970004" w:rsidRPr="007C2014">
        <w:rPr>
          <w:lang w:val="en-US"/>
        </w:rPr>
        <w:t>of the test material</w:t>
      </w:r>
      <w:r w:rsidR="00970004">
        <w:rPr>
          <w:lang w:val="en-US"/>
        </w:rPr>
        <w:t xml:space="preserve"> </w:t>
      </w:r>
      <w:r w:rsidR="00A449F7">
        <w:rPr>
          <w:lang w:val="en-US"/>
        </w:rPr>
        <w:t>and</w:t>
      </w:r>
      <w:r w:rsidR="00CE0139">
        <w:rPr>
          <w:lang w:val="en-US"/>
        </w:rPr>
        <w:t xml:space="preserve"> </w:t>
      </w:r>
      <w:r w:rsidR="00CE0139" w:rsidRPr="00CE0139">
        <w:rPr>
          <w:lang w:val="en-US"/>
        </w:rPr>
        <w:t>operating wavelength</w:t>
      </w:r>
      <w:r w:rsidRPr="007C2014">
        <w:rPr>
          <w:lang w:val="en-US"/>
        </w:rPr>
        <w:t>, respectively</w:t>
      </w:r>
      <w:r>
        <w:rPr>
          <w:lang w:val="en-US"/>
        </w:rPr>
        <w:t xml:space="preserve"> </w:t>
      </w:r>
      <w:r w:rsidR="00F70552" w:rsidRPr="007C2014">
        <w:rPr>
          <w:lang w:val="en-US"/>
        </w:rPr>
        <w:t>[</w:t>
      </w:r>
      <w:r w:rsidR="00C313B9">
        <w:rPr>
          <w:lang w:val="en-US"/>
        </w:rPr>
        <w:t>22</w:t>
      </w:r>
      <w:r w:rsidR="00F70552" w:rsidRPr="007C2014">
        <w:rPr>
          <w:lang w:val="en-US"/>
        </w:rPr>
        <w:t>].</w:t>
      </w:r>
    </w:p>
    <w:p w14:paraId="43577347" w14:textId="77589FC5" w:rsidR="00FA4454" w:rsidRPr="00961DEB" w:rsidRDefault="003E1E2A" w:rsidP="00961DEB">
      <w:pPr>
        <w:pStyle w:val="BodyText"/>
        <w:rPr>
          <w:lang w:val="en-US"/>
        </w:rPr>
      </w:pPr>
      <w:r w:rsidRPr="003E1E2A">
        <w:rPr>
          <w:lang w:val="en-US"/>
        </w:rPr>
        <w:t xml:space="preserve">By changing the refractive index </w:t>
      </w:r>
      <w:r w:rsidR="00180369" w:rsidRPr="00180369">
        <w:rPr>
          <w:lang w:val="en-US"/>
        </w:rPr>
        <w:t>according to</w:t>
      </w:r>
      <w:r w:rsidR="00970004">
        <w:rPr>
          <w:lang w:val="en-US"/>
        </w:rPr>
        <w:t xml:space="preserve"> </w:t>
      </w:r>
      <w:r w:rsidRPr="003E1E2A">
        <w:rPr>
          <w:lang w:val="en-US"/>
        </w:rPr>
        <w:t xml:space="preserve">1 to </w:t>
      </w:r>
      <w:r w:rsidR="00CD47B3">
        <w:rPr>
          <w:lang w:val="en-US"/>
        </w:rPr>
        <w:t>1.2</w:t>
      </w:r>
      <w:r w:rsidRPr="003E1E2A">
        <w:rPr>
          <w:lang w:val="en-US"/>
        </w:rPr>
        <w:t>,</w:t>
      </w:r>
      <w:r w:rsidR="00970004">
        <w:rPr>
          <w:lang w:val="en-US"/>
        </w:rPr>
        <w:t xml:space="preserve"> </w:t>
      </w:r>
      <w:r w:rsidR="00CD47B3">
        <w:rPr>
          <w:lang w:val="en-US"/>
        </w:rPr>
        <w:t>1</w:t>
      </w:r>
      <w:r w:rsidRPr="003E1E2A">
        <w:rPr>
          <w:lang w:val="en-US"/>
        </w:rPr>
        <w:t xml:space="preserve"> to </w:t>
      </w:r>
      <w:r w:rsidR="00CD47B3">
        <w:rPr>
          <w:lang w:val="en-US"/>
        </w:rPr>
        <w:t>1.4</w:t>
      </w:r>
      <w:r w:rsidR="00B41F2F">
        <w:rPr>
          <w:lang w:val="en-US"/>
        </w:rPr>
        <w:t xml:space="preserve">, </w:t>
      </w:r>
      <w:r w:rsidRPr="003E1E2A">
        <w:rPr>
          <w:lang w:val="en-US"/>
        </w:rPr>
        <w:t>and</w:t>
      </w:r>
      <w:r w:rsidR="00970004">
        <w:rPr>
          <w:lang w:val="en-US"/>
        </w:rPr>
        <w:t xml:space="preserve"> </w:t>
      </w:r>
      <w:r w:rsidR="00CD47B3">
        <w:rPr>
          <w:lang w:val="en-US"/>
        </w:rPr>
        <w:t>1</w:t>
      </w:r>
      <w:r w:rsidRPr="003E1E2A">
        <w:rPr>
          <w:lang w:val="en-US"/>
        </w:rPr>
        <w:t xml:space="preserve"> to </w:t>
      </w:r>
      <w:r w:rsidR="00CD47B3">
        <w:rPr>
          <w:lang w:val="en-US"/>
        </w:rPr>
        <w:t>1.6</w:t>
      </w:r>
      <w:r w:rsidRPr="003E1E2A">
        <w:rPr>
          <w:lang w:val="en-US"/>
        </w:rPr>
        <w:t xml:space="preserve">, the sensitivity values ​​are </w:t>
      </w:r>
      <w:r w:rsidR="00CD47B3" w:rsidRPr="00E038EB">
        <w:rPr>
          <w:lang w:val="en-US"/>
        </w:rPr>
        <w:t>1940, 1345</w:t>
      </w:r>
      <w:r w:rsidR="00180369">
        <w:rPr>
          <w:lang w:val="en-US"/>
        </w:rPr>
        <w:t xml:space="preserve">, </w:t>
      </w:r>
      <w:r w:rsidR="00CD47B3" w:rsidRPr="00E038EB">
        <w:rPr>
          <w:lang w:val="en-US"/>
        </w:rPr>
        <w:t>and 2323 nm/RIU, respectively</w:t>
      </w:r>
      <w:r w:rsidR="00CD47B3">
        <w:rPr>
          <w:lang w:val="en-US"/>
        </w:rPr>
        <w:t>.</w:t>
      </w:r>
      <w:r w:rsidR="00180369">
        <w:rPr>
          <w:lang w:val="en-US"/>
        </w:rPr>
        <w:t xml:space="preserve"> </w:t>
      </w:r>
      <w:r w:rsidR="00180369" w:rsidRPr="00180369">
        <w:rPr>
          <w:lang w:val="en-US"/>
        </w:rPr>
        <w:t xml:space="preserve">Therefore, the proposed structure has a maximum sensitivity value of </w:t>
      </w:r>
      <w:r w:rsidR="00180369" w:rsidRPr="00E038EB">
        <w:rPr>
          <w:lang w:val="en-US"/>
        </w:rPr>
        <w:t>2323 nm/RIU</w:t>
      </w:r>
      <w:r w:rsidR="00180369" w:rsidRPr="00180369">
        <w:rPr>
          <w:lang w:val="en-US"/>
        </w:rPr>
        <w:t>.</w:t>
      </w:r>
      <w:r w:rsidR="00180369">
        <w:rPr>
          <w:lang w:val="en-US"/>
        </w:rPr>
        <w:t xml:space="preserve"> </w:t>
      </w:r>
      <w:r w:rsidR="00F70552" w:rsidRPr="00E038EB">
        <w:rPr>
          <w:lang w:val="en-US" w:bidi="fa-IR"/>
        </w:rPr>
        <w:t xml:space="preserve">If the refractive index difference is less than 0.05, the changes are detectable by the sensor, but the </w:t>
      </w:r>
      <w:r w:rsidR="00F70552" w:rsidRPr="00F70552">
        <w:t>sensitivity</w:t>
      </w:r>
      <w:r w:rsidR="00F70552" w:rsidRPr="00E038EB">
        <w:rPr>
          <w:lang w:val="en-US" w:bidi="fa-IR"/>
        </w:rPr>
        <w:t xml:space="preserve"> is low.</w:t>
      </w:r>
      <w:r w:rsidR="00F70552">
        <w:rPr>
          <w:lang w:val="en-US" w:bidi="fa-IR"/>
        </w:rPr>
        <w:t xml:space="preserve"> </w:t>
      </w:r>
      <w:r w:rsidR="00F70552" w:rsidRPr="00E038EB">
        <w:rPr>
          <w:lang w:val="en-US" w:bidi="fa-IR"/>
        </w:rPr>
        <w:t xml:space="preserve">For </w:t>
      </w:r>
      <w:r w:rsidR="00F70552">
        <w:rPr>
          <w:lang w:val="en-US" w:bidi="fa-IR"/>
        </w:rPr>
        <w:t>the</w:t>
      </w:r>
      <w:r w:rsidR="00F70552" w:rsidRPr="00E038EB">
        <w:rPr>
          <w:lang w:val="en-US" w:bidi="fa-IR"/>
        </w:rPr>
        <w:t xml:space="preserve"> refractive index of 1.05, the sensitivity is </w:t>
      </w:r>
      <w:r w:rsidR="00F70552">
        <w:rPr>
          <w:lang w:val="en-US"/>
        </w:rPr>
        <w:t xml:space="preserve">1180 </w:t>
      </w:r>
      <w:r w:rsidR="00F70552" w:rsidRPr="00E038EB">
        <w:rPr>
          <w:lang w:val="en-US"/>
        </w:rPr>
        <w:t>nm/RIU</w:t>
      </w:r>
      <w:r w:rsidR="00F70552" w:rsidRPr="00E038EB">
        <w:rPr>
          <w:lang w:val="en-US" w:bidi="fa-IR"/>
        </w:rPr>
        <w:t>. Therefore, to have high sensitivity, the refractive index of the test medium must be greater than 1.05</w:t>
      </w:r>
      <w:r w:rsidR="00664D8B">
        <w:rPr>
          <w:lang w:val="en-US" w:bidi="fa-IR"/>
        </w:rPr>
        <w:t>.</w:t>
      </w:r>
    </w:p>
    <w:p w14:paraId="63F5B9E8" w14:textId="77777777" w:rsidR="00FA4454" w:rsidRDefault="00FA4454" w:rsidP="00664D8B">
      <w:pPr>
        <w:pStyle w:val="BodyText"/>
        <w:jc w:val="center"/>
        <w:rPr>
          <w:lang w:bidi="fa-IR"/>
        </w:rPr>
      </w:pPr>
    </w:p>
    <w:p w14:paraId="3AD9902A" w14:textId="14ADA092" w:rsidR="00FA4454" w:rsidRDefault="00FA4454" w:rsidP="00664D8B">
      <w:pPr>
        <w:pStyle w:val="BodyText"/>
        <w:jc w:val="center"/>
        <w:rPr>
          <w:lang w:bidi="fa-IR"/>
        </w:rPr>
        <w:sectPr w:rsidR="00FA4454" w:rsidSect="00664D8B">
          <w:type w:val="continuous"/>
          <w:pgSz w:w="595.30pt" w:h="841.90pt" w:code="9"/>
          <w:pgMar w:top="54pt" w:right="45.35pt" w:bottom="72pt" w:left="45.35pt" w:header="36pt" w:footer="36pt" w:gutter="0pt"/>
          <w:cols w:num="2" w:space="18pt"/>
          <w:docGrid w:linePitch="360"/>
        </w:sectPr>
      </w:pPr>
    </w:p>
    <w:p w14:paraId="6E002019" w14:textId="68666264" w:rsidR="00B2798E" w:rsidRDefault="00B2798E" w:rsidP="00664D8B">
      <w:pPr>
        <w:pStyle w:val="BodyText"/>
        <w:jc w:val="center"/>
        <w:rPr>
          <w:lang w:bidi="fa-IR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3E523288" wp14:editId="7A05205C">
            <wp:extent cx="4835927" cy="1980000"/>
            <wp:effectExtent l="0" t="0" r="0" b="1270"/>
            <wp:docPr id="5" name="Picture 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 rotWithShape="1">
                    <a:blip r:embed="rId46"/>
                    <a:srcRect l="-2.824%" r="-5.48%"/>
                    <a:stretch/>
                  </pic:blipFill>
                  <pic:spPr bwMode="auto">
                    <a:xfrm>
                      <a:off x="0" y="0"/>
                      <a:ext cx="4835927" cy="19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E35B30" w14:textId="07AD2F16" w:rsidR="00115736" w:rsidRPr="00B2798E" w:rsidRDefault="00B2798E" w:rsidP="00B2798E">
      <w:pPr>
        <w:pStyle w:val="BodyText"/>
        <w:ind w:firstLine="0pt"/>
        <w:jc w:val="center"/>
        <w:rPr>
          <w:sz w:val="16"/>
          <w:szCs w:val="16"/>
          <w:lang w:val="en-US" w:bidi="fa-IR"/>
        </w:rPr>
      </w:pPr>
      <w:r w:rsidRPr="00B2798E">
        <w:rPr>
          <w:sz w:val="16"/>
          <w:szCs w:val="16"/>
          <w:lang w:val="en-US" w:bidi="fa-IR"/>
        </w:rPr>
        <w:t>(a)</w:t>
      </w:r>
    </w:p>
    <w:p w14:paraId="19F40BBA" w14:textId="6412009A" w:rsidR="00B2798E" w:rsidRPr="00B2798E" w:rsidRDefault="00B2798E" w:rsidP="001F4738">
      <w:pPr>
        <w:pStyle w:val="BodyText"/>
        <w:tabs>
          <w:tab w:val="clear" w:pos="14.40pt"/>
          <w:tab w:val="start" w:pos="7.10pt"/>
        </w:tabs>
        <w:ind w:end="8.45pt" w:firstLine="0pt"/>
        <w:jc w:val="center"/>
        <w:rPr>
          <w:sz w:val="16"/>
          <w:szCs w:val="16"/>
          <w:lang w:val="en-US" w:bidi="fa-IR"/>
        </w:rPr>
      </w:pPr>
      <w:r w:rsidRPr="00B2798E">
        <w:rPr>
          <w:noProof/>
          <w:sz w:val="16"/>
          <w:szCs w:val="16"/>
          <w:rtl/>
          <w:lang w:val="en-GB" w:eastAsia="en-GB"/>
        </w:rPr>
        <w:drawing>
          <wp:inline distT="0" distB="0" distL="0" distR="0" wp14:anchorId="21AE0E4E" wp14:editId="12F7EBF7">
            <wp:extent cx="3942184" cy="1918800"/>
            <wp:effectExtent l="0" t="0" r="0" b="5715"/>
            <wp:docPr id="9" name="Picture 9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.341%" t="2.68%" r="7.285%" b="-0.001%"/>
                    <a:stretch/>
                  </pic:blipFill>
                  <pic:spPr bwMode="auto">
                    <a:xfrm>
                      <a:off x="0" y="0"/>
                      <a:ext cx="3942184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A6AB49" w14:textId="1CECA44F" w:rsidR="00F649AE" w:rsidRDefault="00B2798E" w:rsidP="00B2798E">
      <w:pPr>
        <w:pStyle w:val="BodyText"/>
        <w:jc w:val="center"/>
        <w:rPr>
          <w:lang w:val="en-US" w:bidi="fa-IR"/>
        </w:rPr>
      </w:pPr>
      <w:r w:rsidRPr="00B2798E">
        <w:rPr>
          <w:sz w:val="16"/>
          <w:szCs w:val="16"/>
          <w:lang w:val="en-US" w:bidi="fa-IR"/>
        </w:rPr>
        <w:t>(b)</w:t>
      </w:r>
    </w:p>
    <w:p w14:paraId="3D683D0C" w14:textId="4C4BE203" w:rsidR="00B2798E" w:rsidRPr="00115736" w:rsidRDefault="00B2798E" w:rsidP="00C65370">
      <w:pPr>
        <w:pStyle w:val="figurecaption"/>
        <w:numPr>
          <w:ilvl w:val="0"/>
          <w:numId w:val="0"/>
        </w:numPr>
        <w:spacing w:before="0pt"/>
        <w:jc w:val="center"/>
        <w:rPr>
          <w:lang w:bidi="fa-IR"/>
        </w:rPr>
      </w:pPr>
      <w:r>
        <w:rPr>
          <w:lang w:bidi="fa-IR"/>
        </w:rPr>
        <w:t>Fig. 3</w:t>
      </w:r>
      <w:r w:rsidR="004C5FFF">
        <w:t>.</w:t>
      </w:r>
      <w:r w:rsidR="002E448C">
        <w:t xml:space="preserve"> </w:t>
      </w:r>
      <w:r w:rsidR="004C5FFF">
        <w:t xml:space="preserve">The influence of changing geometrical parameters of </w:t>
      </w:r>
      <w:r w:rsidRPr="00B2798E">
        <w:rPr>
          <w:lang w:bidi="fa-IR"/>
        </w:rPr>
        <w:t xml:space="preserve">(a) </w:t>
      </w:r>
      <w:r w:rsidR="004C5FFF">
        <w:rPr>
          <w:lang w:bidi="fa-IR"/>
        </w:rPr>
        <w:t>r</w:t>
      </w:r>
      <w:r w:rsidR="004C5FFF" w:rsidRPr="004C5FFF">
        <w:rPr>
          <w:vertAlign w:val="subscript"/>
          <w:lang w:bidi="fa-IR"/>
        </w:rPr>
        <w:t>1</w:t>
      </w:r>
      <w:r w:rsidRPr="00B2798E">
        <w:rPr>
          <w:lang w:bidi="fa-IR"/>
        </w:rPr>
        <w:t xml:space="preserve"> (b)</w:t>
      </w:r>
      <w:r w:rsidR="004C5FFF">
        <w:rPr>
          <w:lang w:bidi="fa-IR"/>
        </w:rPr>
        <w:t xml:space="preserve"> r</w:t>
      </w:r>
      <w:r w:rsidR="004C5FFF" w:rsidRPr="004C5FFF">
        <w:rPr>
          <w:vertAlign w:val="subscript"/>
          <w:lang w:bidi="fa-IR"/>
        </w:rPr>
        <w:t>2</w:t>
      </w:r>
      <w:r w:rsidR="004C5FFF">
        <w:rPr>
          <w:lang w:bidi="fa-IR"/>
        </w:rPr>
        <w:t xml:space="preserve"> on the </w:t>
      </w:r>
      <w:r w:rsidR="00246F61" w:rsidRPr="00246F61">
        <w:rPr>
          <w:lang w:bidi="fa-IR"/>
        </w:rPr>
        <w:t>performance</w:t>
      </w:r>
      <w:r w:rsidR="00246F61">
        <w:rPr>
          <w:lang w:bidi="fa-IR"/>
        </w:rPr>
        <w:t xml:space="preserve"> of the d</w:t>
      </w:r>
      <w:r w:rsidR="00246F61" w:rsidRPr="00246F61">
        <w:rPr>
          <w:lang w:bidi="fa-IR"/>
        </w:rPr>
        <w:t>esigned device</w:t>
      </w:r>
      <w:r w:rsidR="004C5FFF">
        <w:rPr>
          <w:lang w:bidi="fa-IR"/>
        </w:rPr>
        <w:t>.</w:t>
      </w:r>
    </w:p>
    <w:p w14:paraId="48B0F984" w14:textId="77777777" w:rsidR="001E79E3" w:rsidRDefault="001E79E3" w:rsidP="0068173B">
      <w:pPr>
        <w:pStyle w:val="BodyText"/>
        <w:tabs>
          <w:tab w:val="clear" w:pos="14.40pt"/>
          <w:tab w:val="start" w:pos="7.10pt"/>
          <w:tab w:val="start" w:pos="198.45pt"/>
          <w:tab w:val="start" w:pos="219.75pt"/>
        </w:tabs>
        <w:ind w:end="23.55pt" w:firstLine="21.30pt"/>
        <w:jc w:val="center"/>
        <w:sectPr w:rsidR="001E79E3" w:rsidSect="001E79E3">
          <w:type w:val="continuous"/>
          <w:pgSz w:w="595.30pt" w:h="841.90pt" w:code="9"/>
          <w:pgMar w:top="54pt" w:right="45.35pt" w:bottom="72pt" w:left="45.35pt" w:header="36pt" w:footer="36pt" w:gutter="0pt"/>
          <w:cols w:space="18pt"/>
          <w:docGrid w:linePitch="360"/>
        </w:sectPr>
      </w:pPr>
    </w:p>
    <w:p w14:paraId="0871F23F" w14:textId="20E33D3C" w:rsidR="00B2798E" w:rsidRDefault="00B2798E" w:rsidP="000D0223">
      <w:pPr>
        <w:pStyle w:val="BodyText"/>
        <w:tabs>
          <w:tab w:val="clear" w:pos="14.40pt"/>
          <w:tab w:val="start" w:pos="7.10pt"/>
          <w:tab w:val="start" w:pos="198.45pt"/>
          <w:tab w:val="start" w:pos="219.75pt"/>
        </w:tabs>
        <w:ind w:end="36.80pt" w:firstLine="21.30pt"/>
        <w:jc w:val="center"/>
      </w:pPr>
      <w:r w:rsidRPr="005F13B3">
        <w:rPr>
          <w:noProof/>
          <w:szCs w:val="24"/>
          <w:rtl/>
          <w:lang w:val="en-GB" w:eastAsia="en-GB"/>
        </w:rPr>
        <w:drawing>
          <wp:inline distT="0" distB="0" distL="0" distR="0" wp14:anchorId="53B11B93" wp14:editId="4CCA06B2">
            <wp:extent cx="3982479" cy="1987200"/>
            <wp:effectExtent l="0" t="0" r="0" b="0"/>
            <wp:docPr id="4" name="Picture 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.933%" r="7.551%"/>
                    <a:stretch/>
                  </pic:blipFill>
                  <pic:spPr bwMode="auto">
                    <a:xfrm>
                      <a:off x="0" y="0"/>
                      <a:ext cx="3982479" cy="19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7F3F51" w14:textId="72EB8005" w:rsidR="00F70552" w:rsidRPr="00B2798E" w:rsidRDefault="00B2798E" w:rsidP="007A6621">
      <w:pPr>
        <w:pStyle w:val="figurecaption"/>
        <w:numPr>
          <w:ilvl w:val="0"/>
          <w:numId w:val="0"/>
        </w:numPr>
        <w:spacing w:before="0pt"/>
        <w:jc w:val="center"/>
        <w:rPr>
          <w:lang w:bidi="fa-IR"/>
        </w:rPr>
      </w:pPr>
      <w:r>
        <w:t>Fig. 4.</w:t>
      </w:r>
      <w:r w:rsidR="007A6621" w:rsidRPr="007A6621">
        <w:t xml:space="preserve"> </w:t>
      </w:r>
      <w:r w:rsidR="007A6621">
        <w:t xml:space="preserve">The influence of changing geometrical parameter of p </w:t>
      </w:r>
      <w:r w:rsidR="007A6621">
        <w:rPr>
          <w:lang w:bidi="fa-IR"/>
        </w:rPr>
        <w:t xml:space="preserve">on the </w:t>
      </w:r>
      <w:r w:rsidR="007A6621" w:rsidRPr="00246F61">
        <w:rPr>
          <w:lang w:bidi="fa-IR"/>
        </w:rPr>
        <w:t>performance</w:t>
      </w:r>
      <w:r w:rsidR="007A6621">
        <w:rPr>
          <w:lang w:bidi="fa-IR"/>
        </w:rPr>
        <w:t xml:space="preserve"> of the d</w:t>
      </w:r>
      <w:r w:rsidR="007A6621" w:rsidRPr="00246F61">
        <w:rPr>
          <w:lang w:bidi="fa-IR"/>
        </w:rPr>
        <w:t>esigned device</w:t>
      </w:r>
      <w:r w:rsidR="007A6621">
        <w:rPr>
          <w:lang w:bidi="fa-IR"/>
        </w:rPr>
        <w:t>.</w:t>
      </w:r>
    </w:p>
    <w:p w14:paraId="32E023D1" w14:textId="77777777" w:rsidR="00435DA3" w:rsidRPr="00881567" w:rsidRDefault="00435DA3" w:rsidP="001F4738">
      <w:pPr>
        <w:pStyle w:val="BodyText"/>
        <w:ind w:end="29.70pt" w:firstLine="14.20pt"/>
        <w:jc w:val="center"/>
        <w:rPr>
          <w:rtl/>
          <w:lang w:val="en-US" w:bidi="fa-IR"/>
        </w:rPr>
      </w:pPr>
      <w:r w:rsidRPr="00182497">
        <w:rPr>
          <w:noProof/>
          <w:rtl/>
          <w:lang w:val="en-GB" w:eastAsia="en-GB"/>
        </w:rPr>
        <w:drawing>
          <wp:inline distT="0" distB="0" distL="0" distR="0" wp14:anchorId="0F2B64BE" wp14:editId="4D5744D1">
            <wp:extent cx="3951105" cy="1897200"/>
            <wp:effectExtent l="0" t="0" r="0" b="8255"/>
            <wp:docPr id="10" name="Picture 10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.933%" t="4.429%" r="8.093%"/>
                    <a:stretch/>
                  </pic:blipFill>
                  <pic:spPr bwMode="auto">
                    <a:xfrm>
                      <a:off x="0" y="0"/>
                      <a:ext cx="3951105" cy="18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EC1E8A" w14:textId="0FFCF24E" w:rsidR="00B2798E" w:rsidRDefault="00435DA3" w:rsidP="00BC0165">
      <w:pPr>
        <w:pStyle w:val="figurecaption"/>
        <w:numPr>
          <w:ilvl w:val="0"/>
          <w:numId w:val="0"/>
        </w:numPr>
        <w:jc w:val="center"/>
        <w:rPr>
          <w:rtl/>
          <w:lang w:bidi="fa-IR"/>
        </w:rPr>
      </w:pPr>
      <w:r>
        <w:t>Fig. 5</w:t>
      </w:r>
      <w:r w:rsidR="001209D8">
        <w:t xml:space="preserve">. </w:t>
      </w:r>
      <w:r w:rsidR="00082A13" w:rsidRPr="00082A13">
        <w:t xml:space="preserve">The effect of changing the chemical </w:t>
      </w:r>
      <w:r w:rsidR="00082A13" w:rsidRPr="00435DA3">
        <w:t xml:space="preserve">potential </w:t>
      </w:r>
      <w:r w:rsidR="00082A13">
        <w:t>(</w:t>
      </w:r>
      <w:r w:rsidR="00082A13" w:rsidRPr="00226106">
        <w:rPr>
          <w:i/>
          <w:iCs/>
          <w:lang w:bidi="fa-IR"/>
        </w:rPr>
        <w:t>µ</w:t>
      </w:r>
      <w:r w:rsidR="00082A13" w:rsidRPr="00226106">
        <w:rPr>
          <w:i/>
          <w:iCs/>
          <w:vertAlign w:val="subscript"/>
          <w:lang w:bidi="fa-IR"/>
        </w:rPr>
        <w:t>c</w:t>
      </w:r>
      <w:r w:rsidR="00082A13">
        <w:t xml:space="preserve">) </w:t>
      </w:r>
      <w:r w:rsidR="00082A13" w:rsidRPr="00082A13">
        <w:t xml:space="preserve">of </w:t>
      </w:r>
      <w:r w:rsidR="001209D8">
        <w:t xml:space="preserve">the </w:t>
      </w:r>
      <w:r w:rsidR="00082A13" w:rsidRPr="00082A13">
        <w:t>graphene on the performance of the designed device</w:t>
      </w:r>
      <w:r w:rsidR="00082A13">
        <w:t>.</w:t>
      </w:r>
    </w:p>
    <w:p w14:paraId="65E4EB93" w14:textId="52C7C431" w:rsidR="00435DA3" w:rsidRDefault="0001134F" w:rsidP="000D0223">
      <w:pPr>
        <w:pStyle w:val="figurecaption"/>
        <w:numPr>
          <w:ilvl w:val="0"/>
          <w:numId w:val="0"/>
        </w:numPr>
        <w:tabs>
          <w:tab w:val="clear" w:pos="26.65pt"/>
          <w:tab w:val="start" w:pos="42.55pt"/>
        </w:tabs>
        <w:ind w:end="15.55pt"/>
        <w:jc w:val="center"/>
      </w:pPr>
      <w:r w:rsidRPr="008C3818">
        <w:rPr>
          <w:lang w:val="en-GB" w:eastAsia="en-GB"/>
        </w:rPr>
        <w:lastRenderedPageBreak/>
        <w:drawing>
          <wp:inline distT="0" distB="0" distL="0" distR="0" wp14:anchorId="54BE694F" wp14:editId="111D28C9">
            <wp:extent cx="3936360" cy="1908000"/>
            <wp:effectExtent l="0" t="0" r="7620" b="0"/>
            <wp:docPr id="6" name="Picture 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.41%" t="3.493%" r="7.592%"/>
                    <a:stretch/>
                  </pic:blipFill>
                  <pic:spPr bwMode="auto">
                    <a:xfrm>
                      <a:off x="0" y="0"/>
                      <a:ext cx="3936360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2C351C" w14:textId="19FD6109" w:rsidR="00BC0165" w:rsidRDefault="0001134F" w:rsidP="001209D8">
      <w:pPr>
        <w:pStyle w:val="figurecaption"/>
        <w:numPr>
          <w:ilvl w:val="0"/>
          <w:numId w:val="0"/>
        </w:numPr>
        <w:jc w:val="center"/>
        <w:rPr>
          <w:lang w:bidi="fa-IR"/>
        </w:rPr>
        <w:sectPr w:rsidR="00BC0165" w:rsidSect="00BC0165">
          <w:type w:val="continuous"/>
          <w:pgSz w:w="595.30pt" w:h="841.90pt" w:code="9"/>
          <w:pgMar w:top="54pt" w:right="45.35pt" w:bottom="72pt" w:left="45.35pt" w:header="36pt" w:footer="36pt" w:gutter="0pt"/>
          <w:cols w:space="18pt"/>
          <w:docGrid w:linePitch="360"/>
        </w:sectPr>
      </w:pPr>
      <w:r w:rsidRPr="00A10B79">
        <w:t xml:space="preserve">Fig. 6. </w:t>
      </w:r>
      <w:r w:rsidR="001209D8" w:rsidRPr="00082A13">
        <w:t>The effect of changing the</w:t>
      </w:r>
      <w:r w:rsidR="001209D8">
        <w:t xml:space="preserve"> relaxation time (</w:t>
      </w:r>
      <w:r w:rsidR="001209D8" w:rsidRPr="00377696">
        <w:rPr>
          <w:position w:val="-6"/>
        </w:rPr>
        <mc:AlternateContent>
          <mc:Choice Requires="v">
            <w:object w:dxaOrig="8pt" w:dyaOrig="9pt" w14:anchorId="4499DACA">
              <v:shape id="_x0000_i1036" type="#_x0000_t75" style="width:4pt;height:12pt" o:ole="">
                <v:imagedata r:id="rId51" o:title=""/>
              </v:shape>
              <o:OLEObject Type="Embed" ProgID="Equation.DSMT4" ShapeID="_x0000_i1036" DrawAspect="Content" ObjectID="_1826994389" r:id="rId52"/>
            </w:object>
          </mc:Choice>
          <mc:Fallback>
            <w:object>
              <w:drawing>
                <wp:inline distT="0" distB="0" distL="0" distR="0" wp14:anchorId="361499A5" wp14:editId="309EC595">
                  <wp:extent cx="50800" cy="152400"/>
                  <wp:effectExtent l="0" t="0" r="6350" b="0"/>
                  <wp:docPr id="1" name="Object 12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12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826994389" isActiveX="0" linkType=""/>
                              </a:ext>
                            </a:extLst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52" w:progId="Equation.DSMT4" w:shapeId="1" w:fieldCodes=""/>
            </w:object>
          </mc:Fallback>
        </mc:AlternateContent>
      </w:r>
      <w:r w:rsidR="001209D8">
        <w:t xml:space="preserve">) </w:t>
      </w:r>
      <w:r w:rsidR="001209D8" w:rsidRPr="00082A13">
        <w:t xml:space="preserve">of </w:t>
      </w:r>
      <w:r w:rsidR="001209D8">
        <w:t xml:space="preserve">the </w:t>
      </w:r>
      <w:r w:rsidR="001209D8" w:rsidRPr="00082A13">
        <w:t>graphene on the performance of the designed device</w:t>
      </w:r>
      <w:r w:rsidR="001209D8">
        <w:t xml:space="preserve">. </w:t>
      </w:r>
    </w:p>
    <w:p w14:paraId="071ACE5E" w14:textId="77777777" w:rsidR="00BC0165" w:rsidRDefault="00BC0165" w:rsidP="00F70552">
      <w:pPr>
        <w:pStyle w:val="BodyText"/>
        <w:rPr>
          <w:lang w:val="en-US" w:bidi="fa-IR"/>
        </w:rPr>
        <w:sectPr w:rsidR="00BC0165" w:rsidSect="003B4E04">
          <w:type w:val="continuous"/>
          <w:pgSz w:w="595.30pt" w:h="841.90pt" w:code="9"/>
          <w:pgMar w:top="54pt" w:right="45.35pt" w:bottom="72pt" w:left="45.35pt" w:header="36pt" w:footer="36pt" w:gutter="0pt"/>
          <w:cols w:num="2" w:space="18pt"/>
          <w:docGrid w:linePitch="360"/>
        </w:sectPr>
      </w:pPr>
    </w:p>
    <w:p w14:paraId="1B1E0D67" w14:textId="2C565580" w:rsidR="00E038EB" w:rsidRPr="00A10B79" w:rsidRDefault="00E038EB" w:rsidP="000D0223">
      <w:pPr>
        <w:pStyle w:val="BodyText"/>
        <w:ind w:end="36.80pt" w:firstLine="21.30pt"/>
        <w:jc w:val="center"/>
        <w:rPr>
          <w:lang w:val="en-US" w:bidi="fa-IR"/>
        </w:rPr>
      </w:pPr>
      <w:r w:rsidRPr="00E863D8">
        <w:rPr>
          <w:noProof/>
          <w:rtl/>
          <w:lang w:val="en-GB" w:eastAsia="en-GB"/>
        </w:rPr>
        <w:drawing>
          <wp:inline distT="0" distB="0" distL="0" distR="0" wp14:anchorId="5CA24816" wp14:editId="39CD4E6E">
            <wp:extent cx="3983698" cy="1980000"/>
            <wp:effectExtent l="0" t="0" r="0" b="1270"/>
            <wp:docPr id="24" name="Picture 2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 rotWithShape="1"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.864%" r="7.21%"/>
                    <a:stretch/>
                  </pic:blipFill>
                  <pic:spPr bwMode="auto">
                    <a:xfrm>
                      <a:off x="0" y="0"/>
                      <a:ext cx="3983698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1F148C" w14:textId="7D0E38EA" w:rsidR="00BC0165" w:rsidRDefault="00E038EB" w:rsidP="00F70552">
      <w:pPr>
        <w:pStyle w:val="figurecaption"/>
        <w:numPr>
          <w:ilvl w:val="0"/>
          <w:numId w:val="0"/>
        </w:numPr>
        <w:jc w:val="center"/>
        <w:sectPr w:rsidR="00BC0165" w:rsidSect="00BC0165">
          <w:type w:val="continuous"/>
          <w:pgSz w:w="595.30pt" w:h="841.90pt" w:code="9"/>
          <w:pgMar w:top="54pt" w:right="45.35pt" w:bottom="72pt" w:left="45.35pt" w:header="36pt" w:footer="36pt" w:gutter="0pt"/>
          <w:cols w:space="18pt"/>
          <w:docGrid w:linePitch="360"/>
        </w:sectPr>
      </w:pPr>
      <w:r w:rsidRPr="00A10B79">
        <w:t xml:space="preserve">Fig. </w:t>
      </w:r>
      <w:r>
        <w:t>7</w:t>
      </w:r>
      <w:r w:rsidRPr="00A10B79">
        <w:t xml:space="preserve">. </w:t>
      </w:r>
      <w:r w:rsidR="001209D8" w:rsidRPr="00082A13">
        <w:t>The effect of changing the</w:t>
      </w:r>
      <w:r w:rsidR="001209D8">
        <w:t xml:space="preserve"> </w:t>
      </w:r>
      <w:r w:rsidR="001209D8" w:rsidRPr="00583ADA">
        <w:t>refractive index of the test material</w:t>
      </w:r>
      <w:r w:rsidR="001209D8">
        <w:t xml:space="preserve"> </w:t>
      </w:r>
      <w:r w:rsidR="001209D8" w:rsidRPr="00082A13">
        <w:t>on the performance of the designed device</w:t>
      </w:r>
      <w:r w:rsidR="001209D8">
        <w:t>.</w:t>
      </w:r>
    </w:p>
    <w:p w14:paraId="2E043853" w14:textId="77777777" w:rsidR="00BC0165" w:rsidRDefault="00BC0165" w:rsidP="00225AFB">
      <w:pPr>
        <w:pStyle w:val="figurecaption"/>
        <w:numPr>
          <w:ilvl w:val="0"/>
          <w:numId w:val="0"/>
        </w:numPr>
      </w:pPr>
    </w:p>
    <w:p w14:paraId="633A9E1B" w14:textId="2276E6C9" w:rsidR="00583ADA" w:rsidRPr="006B6B66" w:rsidRDefault="00583ADA" w:rsidP="00C65370">
      <w:pPr>
        <w:pStyle w:val="Heading1"/>
        <w:spacing w:before="0pt"/>
      </w:pPr>
      <w:r>
        <w:t>Conclusion</w:t>
      </w:r>
    </w:p>
    <w:p w14:paraId="08E4FCF4" w14:textId="4F39445B" w:rsidR="00664D8B" w:rsidRPr="00420C3C" w:rsidRDefault="00C90962" w:rsidP="00A6799F">
      <w:pPr>
        <w:pStyle w:val="BodyText"/>
        <w:ind w:firstLine="14.45pt"/>
        <w:rPr>
          <w:lang w:val="en-US" w:bidi="fa-IR"/>
        </w:rPr>
      </w:pPr>
      <w:r w:rsidRPr="00C90962">
        <w:t xml:space="preserve">In this study, a simple narrow band absorber with good sensing capability and usable in various applications </w:t>
      </w:r>
      <w:r>
        <w:rPr>
          <w:lang w:val="en-US"/>
        </w:rPr>
        <w:t>has been</w:t>
      </w:r>
      <w:r w:rsidRPr="00C90962">
        <w:t xml:space="preserve"> presented</w:t>
      </w:r>
      <w:r w:rsidR="00D54936">
        <w:rPr>
          <w:lang w:val="en-US"/>
        </w:rPr>
        <w:t xml:space="preserve">. </w:t>
      </w:r>
      <w:r w:rsidRPr="00C90962">
        <w:rPr>
          <w:lang w:val="en-US"/>
        </w:rPr>
        <w:t>Changing the geometric</w:t>
      </w:r>
      <w:r>
        <w:rPr>
          <w:lang w:val="en-US"/>
        </w:rPr>
        <w:t>al</w:t>
      </w:r>
      <w:r w:rsidRPr="00C90962">
        <w:rPr>
          <w:lang w:val="en-US"/>
        </w:rPr>
        <w:t xml:space="preserve"> dimensions of the designed device to obtain optimal performance of the structure has been studied and investigated.</w:t>
      </w:r>
      <w:r>
        <w:rPr>
          <w:lang w:val="en-US"/>
        </w:rPr>
        <w:t xml:space="preserve"> </w:t>
      </w:r>
      <w:r w:rsidRPr="00C90962">
        <w:rPr>
          <w:lang w:val="en-US"/>
        </w:rPr>
        <w:t xml:space="preserve">The results showed that the best performance of the structure </w:t>
      </w:r>
      <w:r>
        <w:rPr>
          <w:lang w:val="en-US"/>
        </w:rPr>
        <w:t>has been</w:t>
      </w:r>
      <w:r w:rsidRPr="00C90962">
        <w:rPr>
          <w:lang w:val="en-US"/>
        </w:rPr>
        <w:t xml:space="preserve"> obtained for</w:t>
      </w:r>
      <w:r>
        <w:rPr>
          <w:lang w:val="en-US"/>
        </w:rPr>
        <w:t xml:space="preserve"> the </w:t>
      </w:r>
      <w:r w:rsidRPr="00C90962">
        <w:rPr>
          <w:lang w:val="en-US"/>
        </w:rPr>
        <w:t>chemical potential of</w:t>
      </w:r>
      <w:r>
        <w:rPr>
          <w:lang w:val="en-US"/>
        </w:rPr>
        <w:t xml:space="preserve"> 1 eV </w:t>
      </w:r>
      <w:r w:rsidRPr="00C90962">
        <w:rPr>
          <w:lang w:val="en-US"/>
        </w:rPr>
        <w:t>and</w:t>
      </w:r>
      <w:r>
        <w:rPr>
          <w:lang w:val="en-US"/>
        </w:rPr>
        <w:t xml:space="preserve"> the </w:t>
      </w:r>
      <w:r w:rsidRPr="00C90962">
        <w:rPr>
          <w:lang w:val="en-US"/>
        </w:rPr>
        <w:t>relaxation time of</w:t>
      </w:r>
      <w:r>
        <w:rPr>
          <w:lang w:val="en-US"/>
        </w:rPr>
        <w:t xml:space="preserve"> 1 </w:t>
      </w:r>
      <w:proofErr w:type="spellStart"/>
      <w:r>
        <w:rPr>
          <w:lang w:val="en-US"/>
        </w:rPr>
        <w:t>ps</w:t>
      </w:r>
      <w:proofErr w:type="spellEnd"/>
      <w:r w:rsidRPr="00C90962">
        <w:rPr>
          <w:lang w:val="en-US"/>
        </w:rPr>
        <w:t>, and also by changing the refractive index of the</w:t>
      </w:r>
      <w:r w:rsidR="00105CDC">
        <w:rPr>
          <w:lang w:val="en-US"/>
        </w:rPr>
        <w:t xml:space="preserve"> test</w:t>
      </w:r>
      <w:r w:rsidRPr="00C90962">
        <w:rPr>
          <w:lang w:val="en-US"/>
        </w:rPr>
        <w:t xml:space="preserve"> material placed on top of the structure from 1 to 1.6, the maximum sensitivity value </w:t>
      </w:r>
      <w:r>
        <w:rPr>
          <w:lang w:val="en-US"/>
        </w:rPr>
        <w:t>has been</w:t>
      </w:r>
      <w:r w:rsidRPr="00C90962">
        <w:rPr>
          <w:lang w:val="en-US"/>
        </w:rPr>
        <w:t xml:space="preserve"> obtained.</w:t>
      </w:r>
    </w:p>
    <w:p w14:paraId="07FB7CEB" w14:textId="77777777" w:rsidR="00AA7E47" w:rsidRDefault="00AA7E47" w:rsidP="00AA7E47">
      <w:pPr>
        <w:pStyle w:val="Heading5"/>
      </w:pPr>
      <w:r w:rsidRPr="005B520E">
        <w:t>References</w:t>
      </w:r>
    </w:p>
    <w:p w14:paraId="42DE1829" w14:textId="7F6F331F" w:rsidR="005E7B28" w:rsidRDefault="005E7B28" w:rsidP="005E7B28">
      <w:pPr>
        <w:pStyle w:val="references"/>
      </w:pPr>
      <w:r w:rsidRPr="005E7B28">
        <w:t xml:space="preserve">M. Shabani and A. Mir, </w:t>
      </w:r>
      <w:r>
        <w:t>“</w:t>
      </w:r>
      <w:r w:rsidRPr="005E7B28">
        <w:t xml:space="preserve">Design and </w:t>
      </w:r>
      <w:r w:rsidR="00F76C31">
        <w:t>a</w:t>
      </w:r>
      <w:r w:rsidRPr="005E7B28">
        <w:t xml:space="preserve">nalysis of an </w:t>
      </w:r>
      <w:r w:rsidR="00F76C31">
        <w:t>u</w:t>
      </w:r>
      <w:r w:rsidRPr="005E7B28">
        <w:t>ltra-</w:t>
      </w:r>
      <w:r w:rsidR="00F76C31">
        <w:t>b</w:t>
      </w:r>
      <w:r w:rsidRPr="005E7B28">
        <w:t xml:space="preserve">roadband </w:t>
      </w:r>
      <w:r w:rsidR="00F76C31">
        <w:t>p</w:t>
      </w:r>
      <w:r w:rsidRPr="005E7B28">
        <w:t>olarization-</w:t>
      </w:r>
      <w:r w:rsidR="00F76C31">
        <w:t>i</w:t>
      </w:r>
      <w:r w:rsidRPr="005E7B28">
        <w:t xml:space="preserve">ndependent </w:t>
      </w:r>
      <w:r w:rsidR="00F76C31">
        <w:t>w</w:t>
      </w:r>
      <w:r w:rsidRPr="005E7B28">
        <w:t>ide-</w:t>
      </w:r>
      <w:r w:rsidR="00F76C31">
        <w:t>a</w:t>
      </w:r>
      <w:r w:rsidRPr="005E7B28">
        <w:t>ngle</w:t>
      </w:r>
      <w:r w:rsidR="00F76C31">
        <w:t xml:space="preserve"> p</w:t>
      </w:r>
      <w:r w:rsidRPr="005E7B28">
        <w:t xml:space="preserve">lasmonic THz </w:t>
      </w:r>
      <w:r w:rsidR="00F76C31">
        <w:t>a</w:t>
      </w:r>
      <w:r w:rsidRPr="005E7B28">
        <w:t>bsorber,</w:t>
      </w:r>
      <w:r>
        <w:t>”</w:t>
      </w:r>
      <w:r w:rsidRPr="005E7B28">
        <w:t xml:space="preserve"> in </w:t>
      </w:r>
      <w:r w:rsidRPr="005E7B28">
        <w:rPr>
          <w:rStyle w:val="Emphasis"/>
          <w:i w:val="0"/>
          <w:iCs w:val="0"/>
        </w:rPr>
        <w:t>IEEE Journal of Quantum Electronics</w:t>
      </w:r>
      <w:r w:rsidRPr="005E7B28">
        <w:t>, vol. 57, no. 3, pp. 1-8, June 2021.</w:t>
      </w:r>
    </w:p>
    <w:p w14:paraId="4FAD4D46" w14:textId="75FA31B4" w:rsidR="005E7B28" w:rsidRDefault="005E7B28" w:rsidP="005E7B28">
      <w:pPr>
        <w:pStyle w:val="references"/>
      </w:pPr>
      <w:r w:rsidRPr="005E7B28">
        <w:t>J. Liu </w:t>
      </w:r>
      <w:r w:rsidRPr="005E7B28">
        <w:rPr>
          <w:rStyle w:val="Emphasis"/>
          <w:i w:val="0"/>
          <w:iCs w:val="0"/>
        </w:rPr>
        <w:t>et al</w:t>
      </w:r>
      <w:r w:rsidRPr="005E7B28">
        <w:t xml:space="preserve">., </w:t>
      </w:r>
      <w:r w:rsidR="005D60C7">
        <w:t>“</w:t>
      </w:r>
      <w:r w:rsidRPr="005E7B28">
        <w:t xml:space="preserve">Plasmonic </w:t>
      </w:r>
      <w:r w:rsidR="00F76C31">
        <w:t>n</w:t>
      </w:r>
      <w:r w:rsidRPr="005E7B28">
        <w:t xml:space="preserve">anocomposite for </w:t>
      </w:r>
      <w:r w:rsidR="00F76C31">
        <w:t>a</w:t>
      </w:r>
      <w:r w:rsidRPr="005E7B28">
        <w:t xml:space="preserve">ctive </w:t>
      </w:r>
      <w:r w:rsidR="00F76C31">
        <w:t>d</w:t>
      </w:r>
      <w:r w:rsidRPr="005E7B28">
        <w:t xml:space="preserve">ielectric </w:t>
      </w:r>
      <w:r w:rsidR="00F76C31">
        <w:t>m</w:t>
      </w:r>
      <w:r w:rsidRPr="005E7B28">
        <w:t xml:space="preserve">etasurface </w:t>
      </w:r>
      <w:r w:rsidR="00F76C31">
        <w:t>t</w:t>
      </w:r>
      <w:r w:rsidRPr="005E7B28">
        <w:t xml:space="preserve">erahertz </w:t>
      </w:r>
      <w:r w:rsidR="00F76C31">
        <w:t>a</w:t>
      </w:r>
      <w:r w:rsidRPr="005E7B28">
        <w:t>bsorbers,</w:t>
      </w:r>
      <w:r w:rsidR="005D60C7">
        <w:t>”</w:t>
      </w:r>
      <w:r w:rsidRPr="005E7B28">
        <w:t xml:space="preserve"> in </w:t>
      </w:r>
      <w:r w:rsidRPr="005E7B28">
        <w:rPr>
          <w:rStyle w:val="Emphasis"/>
          <w:i w:val="0"/>
          <w:iCs w:val="0"/>
        </w:rPr>
        <w:t>IEEE Transactions on Terahertz Science and Technology</w:t>
      </w:r>
      <w:r w:rsidRPr="005E7B28">
        <w:t>, vol. 13, no. 4, pp. 381-388, July 2023.</w:t>
      </w:r>
    </w:p>
    <w:p w14:paraId="49E3DB46" w14:textId="7F2B161A" w:rsidR="005E7B28" w:rsidRDefault="005D60C7" w:rsidP="005D60C7">
      <w:pPr>
        <w:pStyle w:val="references"/>
      </w:pPr>
      <w:r w:rsidRPr="005D60C7">
        <w:t>M. R. Rakhshani,</w:t>
      </w:r>
      <w:r w:rsidR="00EA41BA">
        <w:t xml:space="preserve"> “</w:t>
      </w:r>
      <w:r w:rsidRPr="005D60C7">
        <w:t xml:space="preserve">Narrowband </w:t>
      </w:r>
      <w:r w:rsidR="00F76C31">
        <w:t>p</w:t>
      </w:r>
      <w:r w:rsidRPr="005D60C7">
        <w:t xml:space="preserve">lasmonic </w:t>
      </w:r>
      <w:r w:rsidR="00F76C31">
        <w:t>a</w:t>
      </w:r>
      <w:r w:rsidRPr="005D60C7">
        <w:t xml:space="preserve">bsorber </w:t>
      </w:r>
      <w:r w:rsidR="00F76C31">
        <w:t>u</w:t>
      </w:r>
      <w:r w:rsidRPr="005D60C7">
        <w:t xml:space="preserve">sing </w:t>
      </w:r>
      <w:r w:rsidR="00F76C31">
        <w:t>g</w:t>
      </w:r>
      <w:r w:rsidRPr="005D60C7">
        <w:t xml:space="preserve">old </w:t>
      </w:r>
      <w:r w:rsidR="00F76C31">
        <w:t>n</w:t>
      </w:r>
      <w:r w:rsidRPr="005D60C7">
        <w:t xml:space="preserve">anoparticle </w:t>
      </w:r>
      <w:r w:rsidR="00F76C31">
        <w:t>a</w:t>
      </w:r>
      <w:r w:rsidRPr="005D60C7">
        <w:t xml:space="preserve">rrays for </w:t>
      </w:r>
      <w:r w:rsidR="00F76C31">
        <w:t>r</w:t>
      </w:r>
      <w:r w:rsidRPr="005D60C7">
        <w:t xml:space="preserve">efractive </w:t>
      </w:r>
      <w:r w:rsidR="00F76C31">
        <w:t>i</w:t>
      </w:r>
      <w:r w:rsidRPr="005D60C7">
        <w:t xml:space="preserve">ndex </w:t>
      </w:r>
      <w:r w:rsidR="00F76C31">
        <w:t>s</w:t>
      </w:r>
      <w:r w:rsidRPr="005D60C7">
        <w:t>ensing,</w:t>
      </w:r>
      <w:r w:rsidR="00EA41BA">
        <w:t>”</w:t>
      </w:r>
      <w:r w:rsidRPr="005D60C7">
        <w:t xml:space="preserve"> in </w:t>
      </w:r>
      <w:r w:rsidRPr="005D60C7">
        <w:rPr>
          <w:rStyle w:val="Emphasis"/>
          <w:i w:val="0"/>
          <w:iCs w:val="0"/>
        </w:rPr>
        <w:t>IEEE Sensors Journal</w:t>
      </w:r>
      <w:r w:rsidRPr="005D60C7">
        <w:t>, vol. 22, no. 5, pp. 4043-4050, 1 March</w:t>
      </w:r>
      <w:r w:rsidR="0068173B">
        <w:t xml:space="preserve"> </w:t>
      </w:r>
      <w:r w:rsidRPr="005D60C7">
        <w:t>2022</w:t>
      </w:r>
      <w:r>
        <w:t>.</w:t>
      </w:r>
    </w:p>
    <w:p w14:paraId="40B22906" w14:textId="22FA7BF2" w:rsidR="00171878" w:rsidRDefault="00171878" w:rsidP="00171878">
      <w:pPr>
        <w:pStyle w:val="references"/>
      </w:pPr>
      <w:r w:rsidRPr="00171878">
        <w:t xml:space="preserve">B. Zhang, R. Wang and X. Du, </w:t>
      </w:r>
      <w:r>
        <w:t>“</w:t>
      </w:r>
      <w:r w:rsidRPr="00171878">
        <w:t xml:space="preserve">Rapid and </w:t>
      </w:r>
      <w:r w:rsidR="00F76C31">
        <w:t>h</w:t>
      </w:r>
      <w:r w:rsidRPr="00171878">
        <w:t xml:space="preserve">ighly </w:t>
      </w:r>
      <w:r w:rsidR="00F76C31">
        <w:t>s</w:t>
      </w:r>
      <w:r w:rsidRPr="00171878">
        <w:t xml:space="preserve">ensitive </w:t>
      </w:r>
      <w:r w:rsidR="00F76C31">
        <w:t>d</w:t>
      </w:r>
      <w:r w:rsidRPr="00171878">
        <w:t xml:space="preserve">etection of </w:t>
      </w:r>
      <w:r w:rsidR="00F76C31">
        <w:t>s</w:t>
      </w:r>
      <w:r w:rsidRPr="00171878">
        <w:t xml:space="preserve">epsis </w:t>
      </w:r>
      <w:r w:rsidR="00F76C31">
        <w:t>i</w:t>
      </w:r>
      <w:r w:rsidRPr="00171878">
        <w:t xml:space="preserve">nflammatory </w:t>
      </w:r>
      <w:r w:rsidR="00F76C31">
        <w:t>f</w:t>
      </w:r>
      <w:r w:rsidRPr="00171878">
        <w:t xml:space="preserve">actors </w:t>
      </w:r>
      <w:r w:rsidR="00F76C31">
        <w:t>b</w:t>
      </w:r>
      <w:r w:rsidRPr="00171878">
        <w:t xml:space="preserve">ased on a </w:t>
      </w:r>
      <w:r w:rsidR="00F76C31">
        <w:t>p</w:t>
      </w:r>
      <w:r w:rsidRPr="00171878">
        <w:t xml:space="preserve">lasmonic </w:t>
      </w:r>
      <w:r w:rsidR="00F76C31">
        <w:t>t</w:t>
      </w:r>
      <w:r w:rsidRPr="00171878">
        <w:t>erahertz-</w:t>
      </w:r>
      <w:r w:rsidR="00F76C31">
        <w:t>m</w:t>
      </w:r>
      <w:r w:rsidRPr="00171878">
        <w:t xml:space="preserve">etasurface </w:t>
      </w:r>
      <w:r w:rsidR="00F76C31">
        <w:t>b</w:t>
      </w:r>
      <w:r w:rsidRPr="00171878">
        <w:t>iosensor,</w:t>
      </w:r>
      <w:r>
        <w:t>”</w:t>
      </w:r>
      <w:r w:rsidRPr="00171878">
        <w:t xml:space="preserve"> in </w:t>
      </w:r>
      <w:r w:rsidRPr="00171878">
        <w:rPr>
          <w:rStyle w:val="Emphasis"/>
          <w:i w:val="0"/>
          <w:iCs w:val="0"/>
        </w:rPr>
        <w:t>IEEE Transactions on Plasma Science</w:t>
      </w:r>
      <w:r w:rsidRPr="00171878">
        <w:t>, vol. 52, no. 4, pp. 1522-1530, April 2024</w:t>
      </w:r>
      <w:r>
        <w:t>.</w:t>
      </w:r>
    </w:p>
    <w:p w14:paraId="3FF4EBB2" w14:textId="421DDE68" w:rsidR="00524F65" w:rsidRDefault="00524F65" w:rsidP="00524F65">
      <w:pPr>
        <w:pStyle w:val="references"/>
      </w:pPr>
      <w:r w:rsidRPr="00524F65">
        <w:t xml:space="preserve">A. Hamouleh-Alipour, M. Forouzeshfard, R. Baghbani and Z. Vafapour, </w:t>
      </w:r>
      <w:r w:rsidR="008813B9">
        <w:t>“</w:t>
      </w:r>
      <w:r w:rsidRPr="00524F65">
        <w:t xml:space="preserve">Blood </w:t>
      </w:r>
      <w:r w:rsidR="00F76C31">
        <w:t>h</w:t>
      </w:r>
      <w:r w:rsidRPr="00524F65">
        <w:t xml:space="preserve">emoglobin </w:t>
      </w:r>
      <w:r w:rsidR="00F76C31">
        <w:t>c</w:t>
      </w:r>
      <w:r w:rsidRPr="00524F65">
        <w:t xml:space="preserve">oncentration </w:t>
      </w:r>
      <w:r w:rsidR="00F76C31">
        <w:t>s</w:t>
      </w:r>
      <w:r w:rsidRPr="00524F65">
        <w:t xml:space="preserve">ensing by </w:t>
      </w:r>
      <w:r w:rsidR="00F76C31">
        <w:t>o</w:t>
      </w:r>
      <w:r w:rsidRPr="00524F65">
        <w:t xml:space="preserve">ptical </w:t>
      </w:r>
      <w:r w:rsidR="00F76C31">
        <w:t>n</w:t>
      </w:r>
      <w:r w:rsidRPr="00524F65">
        <w:t xml:space="preserve">ano </w:t>
      </w:r>
      <w:r w:rsidR="00F76C31">
        <w:t>b</w:t>
      </w:r>
      <w:r w:rsidRPr="00524F65">
        <w:t>iosensor-</w:t>
      </w:r>
      <w:r w:rsidR="00F76C31">
        <w:t>b</w:t>
      </w:r>
      <w:r w:rsidRPr="00524F65">
        <w:t xml:space="preserve">ased </w:t>
      </w:r>
      <w:r w:rsidR="00F76C31">
        <w:t>p</w:t>
      </w:r>
      <w:r w:rsidRPr="00524F65">
        <w:t xml:space="preserve">lasmonic </w:t>
      </w:r>
      <w:r w:rsidR="00F76C31">
        <w:t>m</w:t>
      </w:r>
      <w:r w:rsidRPr="00524F65">
        <w:t xml:space="preserve">etasurface: </w:t>
      </w:r>
      <w:r w:rsidR="00F76C31">
        <w:t>A</w:t>
      </w:r>
      <w:r w:rsidRPr="00524F65">
        <w:t xml:space="preserve"> </w:t>
      </w:r>
      <w:r w:rsidR="00F76C31">
        <w:t>f</w:t>
      </w:r>
      <w:r w:rsidRPr="00524F65">
        <w:t xml:space="preserve">easibility </w:t>
      </w:r>
      <w:r w:rsidR="00F76C31">
        <w:t>s</w:t>
      </w:r>
      <w:r w:rsidRPr="00524F65">
        <w:t>tudy,</w:t>
      </w:r>
      <w:r w:rsidR="008813B9">
        <w:t xml:space="preserve">” </w:t>
      </w:r>
      <w:r w:rsidRPr="00524F65">
        <w:t>in </w:t>
      </w:r>
      <w:r w:rsidRPr="00524F65">
        <w:rPr>
          <w:rStyle w:val="Emphasis"/>
          <w:i w:val="0"/>
          <w:iCs w:val="0"/>
        </w:rPr>
        <w:t>IEEE Transactions on Nanotechnology</w:t>
      </w:r>
      <w:r w:rsidRPr="00524F65">
        <w:t>, vol. 21, pp. 620-628, 2022.</w:t>
      </w:r>
    </w:p>
    <w:p w14:paraId="7B17417C" w14:textId="6BD38AEB" w:rsidR="00524F65" w:rsidRDefault="00524F65" w:rsidP="00524F65">
      <w:pPr>
        <w:pStyle w:val="references"/>
      </w:pPr>
      <w:r w:rsidRPr="00524F65">
        <w:t xml:space="preserve">P. Upender and A. Kumar, </w:t>
      </w:r>
      <w:r w:rsidR="008813B9">
        <w:t>“</w:t>
      </w:r>
      <w:r w:rsidRPr="00524F65">
        <w:t xml:space="preserve">Highly </w:t>
      </w:r>
      <w:r w:rsidR="00F76C31">
        <w:t>s</w:t>
      </w:r>
      <w:r w:rsidRPr="00524F65">
        <w:t xml:space="preserve">ensitive </w:t>
      </w:r>
      <w:r w:rsidR="00F76C31">
        <w:t>t</w:t>
      </w:r>
      <w:r w:rsidRPr="00524F65">
        <w:t xml:space="preserve">unable </w:t>
      </w:r>
      <w:r w:rsidR="00F76C31">
        <w:t>d</w:t>
      </w:r>
      <w:r w:rsidRPr="00524F65">
        <w:t>ual-</w:t>
      </w:r>
      <w:r w:rsidR="00F76C31">
        <w:t>b</w:t>
      </w:r>
      <w:r w:rsidRPr="00524F65">
        <w:t xml:space="preserve">and THz </w:t>
      </w:r>
      <w:r w:rsidR="00F76C31">
        <w:t>r</w:t>
      </w:r>
      <w:r w:rsidRPr="00524F65">
        <w:t>efractive-</w:t>
      </w:r>
      <w:r w:rsidR="00F76C31">
        <w:t>b</w:t>
      </w:r>
      <w:r w:rsidRPr="00524F65">
        <w:t xml:space="preserve">ased </w:t>
      </w:r>
      <w:r w:rsidR="00F76C31">
        <w:t>m</w:t>
      </w:r>
      <w:r w:rsidRPr="00524F65">
        <w:t xml:space="preserve">etamaterial </w:t>
      </w:r>
      <w:r w:rsidR="00F76C31">
        <w:t>s</w:t>
      </w:r>
      <w:r w:rsidRPr="00524F65">
        <w:t xml:space="preserve">ensor for </w:t>
      </w:r>
      <w:r w:rsidR="00F76C31">
        <w:t>b</w:t>
      </w:r>
      <w:r w:rsidRPr="00524F65">
        <w:t xml:space="preserve">iosensing </w:t>
      </w:r>
      <w:r w:rsidR="00F76C31">
        <w:t>a</w:t>
      </w:r>
      <w:r w:rsidRPr="00524F65">
        <w:t>pplications,</w:t>
      </w:r>
      <w:r w:rsidR="008813B9">
        <w:t xml:space="preserve">” </w:t>
      </w:r>
      <w:r w:rsidRPr="00524F65">
        <w:t>in </w:t>
      </w:r>
      <w:r w:rsidRPr="00524F65">
        <w:rPr>
          <w:rStyle w:val="Emphasis"/>
          <w:i w:val="0"/>
          <w:iCs w:val="0"/>
        </w:rPr>
        <w:t>IEEE Transactions on Plasma Science</w:t>
      </w:r>
      <w:r w:rsidRPr="00524F65">
        <w:t>, vol. 51, no. 10, pp. 3258-3264, Oct. 2023.</w:t>
      </w:r>
    </w:p>
    <w:p w14:paraId="7B1E63C7" w14:textId="45A4BABE" w:rsidR="00244D92" w:rsidRPr="00244D92" w:rsidRDefault="00244D92" w:rsidP="00244D92">
      <w:pPr>
        <w:pStyle w:val="references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4F7FB0">
        <w:rPr>
          <w:shd w:val="clear" w:color="auto" w:fill="FFFFFF"/>
        </w:rPr>
        <w:t>G</w:t>
      </w:r>
      <w:r w:rsidRPr="004F7FB0">
        <w:rPr>
          <w:rFonts w:asciiTheme="majorBidi" w:hAnsiTheme="majorBidi" w:cstheme="majorBidi"/>
          <w:shd w:val="clear" w:color="auto" w:fill="FFFFFF"/>
        </w:rPr>
        <w:t>. Xie, H. Attar, A. Alrosan, S. M. F. Abdelaliem, A. A. S. Alabdullah and M. Deif, “Enhanced diagnosing patients suspected of sarcoidosis using a hybrid support vector regression model with bald eagle and chimp optimizers,” PeerJ Computer</w:t>
      </w:r>
      <w:r w:rsidRPr="008D2057">
        <w:rPr>
          <w:rFonts w:asciiTheme="majorBidi" w:hAnsiTheme="majorBidi" w:cstheme="majorBidi"/>
          <w:shd w:val="clear" w:color="auto" w:fill="FFFFFF"/>
        </w:rPr>
        <w:t xml:space="preserve"> Science,</w:t>
      </w:r>
      <w:r>
        <w:rPr>
          <w:rFonts w:asciiTheme="majorBidi" w:hAnsiTheme="majorBidi" w:cstheme="majorBidi"/>
          <w:shd w:val="clear" w:color="auto" w:fill="FFFFFF"/>
        </w:rPr>
        <w:t xml:space="preserve"> </w:t>
      </w:r>
      <w:r w:rsidRPr="008D2057">
        <w:rPr>
          <w:rFonts w:asciiTheme="majorBidi" w:hAnsiTheme="majorBidi" w:cstheme="majorBidi"/>
          <w:color w:val="1B1B1B"/>
          <w:shd w:val="clear" w:color="auto" w:fill="FFFFFF"/>
        </w:rPr>
        <w:t>doi: 10.7717/peerj-cs.2455</w:t>
      </w:r>
      <w:r>
        <w:rPr>
          <w:rFonts w:asciiTheme="majorBidi" w:hAnsiTheme="majorBidi" w:cstheme="majorBidi"/>
          <w:color w:val="1B1B1B"/>
          <w:shd w:val="clear" w:color="auto" w:fill="FFFFFF"/>
        </w:rPr>
        <w:t>.</w:t>
      </w:r>
    </w:p>
    <w:p w14:paraId="4134D44D" w14:textId="2932CD49" w:rsidR="00EA41BA" w:rsidRDefault="00EA41BA" w:rsidP="00C069E4">
      <w:pPr>
        <w:pStyle w:val="references"/>
      </w:pPr>
      <w:r w:rsidRPr="00C069E4">
        <w:t>M. A. Jabbar, M. A. Naveed, M. Zubair, M. Q. Mehmood and Y. Massoud,</w:t>
      </w:r>
      <w:r w:rsidR="00C069E4">
        <w:t xml:space="preserve"> “</w:t>
      </w:r>
      <w:r w:rsidRPr="00C069E4">
        <w:t xml:space="preserve">Wideband </w:t>
      </w:r>
      <w:r w:rsidR="00F76C31">
        <w:t>p</w:t>
      </w:r>
      <w:r w:rsidRPr="00C069E4">
        <w:t xml:space="preserve">olarization </w:t>
      </w:r>
      <w:r w:rsidR="00F76C31">
        <w:t>i</w:t>
      </w:r>
      <w:r w:rsidRPr="00C069E4">
        <w:t xml:space="preserve">nsensitive </w:t>
      </w:r>
      <w:r w:rsidR="00F76C31">
        <w:t>t</w:t>
      </w:r>
      <w:r w:rsidRPr="00C069E4">
        <w:t xml:space="preserve">unable </w:t>
      </w:r>
      <w:r w:rsidR="00F76C31">
        <w:t>g</w:t>
      </w:r>
      <w:r w:rsidRPr="00C069E4">
        <w:t>raphene-</w:t>
      </w:r>
      <w:r w:rsidR="00F76C31">
        <w:t>s</w:t>
      </w:r>
      <w:r w:rsidRPr="00C069E4">
        <w:t xml:space="preserve">upported </w:t>
      </w:r>
      <w:r w:rsidR="00F76C31">
        <w:t>t</w:t>
      </w:r>
      <w:r w:rsidRPr="00C069E4">
        <w:t xml:space="preserve">erahertz </w:t>
      </w:r>
      <w:r w:rsidR="00F76C31">
        <w:t>m</w:t>
      </w:r>
      <w:r w:rsidRPr="00C069E4">
        <w:t xml:space="preserve">etamaterial </w:t>
      </w:r>
      <w:r w:rsidR="00F76C31">
        <w:t>a</w:t>
      </w:r>
      <w:r w:rsidRPr="00C069E4">
        <w:t>bsorber,</w:t>
      </w:r>
      <w:r w:rsidR="00C069E4">
        <w:t xml:space="preserve">” </w:t>
      </w:r>
      <w:r w:rsidRPr="00C069E4">
        <w:t>in </w:t>
      </w:r>
      <w:r w:rsidRPr="00C069E4">
        <w:rPr>
          <w:rStyle w:val="Emphasis"/>
          <w:i w:val="0"/>
          <w:iCs w:val="0"/>
        </w:rPr>
        <w:t>IEEE Photonics Journal</w:t>
      </w:r>
      <w:r w:rsidRPr="00C069E4">
        <w:t>, vol. 15, no. 6, pp. 1-8, Dec. 2023.</w:t>
      </w:r>
    </w:p>
    <w:p w14:paraId="6CE1FA90" w14:textId="0699105E" w:rsidR="00C069E4" w:rsidRDefault="00C069E4" w:rsidP="00C069E4">
      <w:pPr>
        <w:pStyle w:val="references"/>
      </w:pPr>
      <w:r w:rsidRPr="00C069E4">
        <w:t>R. Rahad, A. S. M. Mohsin, M. Belal Hossain Bhuian and M. M. Rahman,</w:t>
      </w:r>
      <w:r>
        <w:t xml:space="preserve"> “</w:t>
      </w:r>
      <w:r w:rsidRPr="00C069E4">
        <w:t>Graphene-</w:t>
      </w:r>
      <w:r w:rsidR="00F76C31">
        <w:t>m</w:t>
      </w:r>
      <w:r w:rsidRPr="00C069E4">
        <w:t xml:space="preserve">etamaterial </w:t>
      </w:r>
      <w:r w:rsidR="00F76C31">
        <w:t>b</w:t>
      </w:r>
      <w:r w:rsidRPr="00C069E4">
        <w:t xml:space="preserve">ased </w:t>
      </w:r>
      <w:r w:rsidR="00F76C31">
        <w:t>t</w:t>
      </w:r>
      <w:r w:rsidRPr="00C069E4">
        <w:t xml:space="preserve">unable </w:t>
      </w:r>
      <w:r w:rsidR="00F76C31">
        <w:t>b</w:t>
      </w:r>
      <w:r w:rsidRPr="00C069E4">
        <w:t xml:space="preserve">roadband </w:t>
      </w:r>
      <w:r w:rsidR="00F76C31">
        <w:t>p</w:t>
      </w:r>
      <w:r w:rsidRPr="00C069E4">
        <w:t xml:space="preserve">olarization </w:t>
      </w:r>
      <w:r w:rsidR="00F76C31">
        <w:t>i</w:t>
      </w:r>
      <w:r w:rsidRPr="00C069E4">
        <w:t xml:space="preserve">nsensitive </w:t>
      </w:r>
      <w:r w:rsidR="00F76C31">
        <w:t>a</w:t>
      </w:r>
      <w:r w:rsidRPr="00C069E4">
        <w:t xml:space="preserve">bsorber for </w:t>
      </w:r>
      <w:r w:rsidR="00F76C31">
        <w:t>t</w:t>
      </w:r>
      <w:r w:rsidRPr="00C069E4">
        <w:t xml:space="preserve">erahertz </w:t>
      </w:r>
      <w:r w:rsidR="00F76C31">
        <w:t>a</w:t>
      </w:r>
      <w:r w:rsidRPr="00C069E4">
        <w:t xml:space="preserve">ntenna </w:t>
      </w:r>
      <w:r w:rsidR="00F76C31">
        <w:t>d</w:t>
      </w:r>
      <w:r w:rsidRPr="00C069E4">
        <w:t>esign,</w:t>
      </w:r>
      <w:r>
        <w:t xml:space="preserve">” </w:t>
      </w:r>
      <w:r w:rsidRPr="00C069E4">
        <w:t>in </w:t>
      </w:r>
      <w:r w:rsidRPr="00C069E4">
        <w:rPr>
          <w:rStyle w:val="Emphasis"/>
          <w:i w:val="0"/>
          <w:iCs w:val="0"/>
        </w:rPr>
        <w:t>IEEE Access</w:t>
      </w:r>
      <w:r w:rsidRPr="00C069E4">
        <w:t>, vol. 12, pp. 48654-48667, 2024.</w:t>
      </w:r>
    </w:p>
    <w:p w14:paraId="05E03238" w14:textId="33E5C42F" w:rsidR="009D3610" w:rsidRPr="004F7FB0" w:rsidRDefault="00AD5DD6" w:rsidP="00C069E4">
      <w:pPr>
        <w:pStyle w:val="references"/>
      </w:pPr>
      <w:r>
        <w:t xml:space="preserve">H. </w:t>
      </w:r>
      <w:r w:rsidR="009D3610" w:rsidRPr="009D3610">
        <w:t>AbuOwida,</w:t>
      </w:r>
      <w:r>
        <w:t xml:space="preserve"> S. </w:t>
      </w:r>
      <w:r w:rsidR="009D3610" w:rsidRPr="009D3610">
        <w:t>Ibrahim Mohammad</w:t>
      </w:r>
      <w:r>
        <w:t xml:space="preserve"> and A. </w:t>
      </w:r>
      <w:r w:rsidR="009D3610" w:rsidRPr="009D3610">
        <w:t>Vasudevan,</w:t>
      </w:r>
      <w:r>
        <w:t xml:space="preserve"> “</w:t>
      </w:r>
      <w:r w:rsidR="009D3610" w:rsidRPr="009D3610">
        <w:t xml:space="preserve">Next-generation </w:t>
      </w:r>
      <w:r w:rsidR="009D3610" w:rsidRPr="004F7FB0">
        <w:t>nanomedicine: the impact of graphene oxide and quantum dots on drug delivery</w:t>
      </w:r>
      <w:r w:rsidRPr="004F7FB0">
        <w:t>,” Journal of Biomaterials Science, Polymer Edition</w:t>
      </w:r>
      <w:r w:rsidR="009D3610" w:rsidRPr="004F7FB0">
        <w:t>,</w:t>
      </w:r>
      <w:r w:rsidR="009B3678" w:rsidRPr="004F7FB0">
        <w:t xml:space="preserve"> </w:t>
      </w:r>
      <w:r w:rsidR="009D3610" w:rsidRPr="004F7FB0">
        <w:t>doi.org/10.1080/09205063.2025.2533475</w:t>
      </w:r>
      <w:r w:rsidR="009B3678" w:rsidRPr="004F7FB0">
        <w:t>.</w:t>
      </w:r>
    </w:p>
    <w:p w14:paraId="0A2D1375" w14:textId="1CE37A86" w:rsidR="00C069E4" w:rsidRDefault="00C069E4" w:rsidP="00C069E4">
      <w:pPr>
        <w:pStyle w:val="references"/>
      </w:pPr>
      <w:r w:rsidRPr="00C069E4">
        <w:t>X. Du</w:t>
      </w:r>
      <w:r w:rsidR="008813B9">
        <w:t xml:space="preserve"> </w:t>
      </w:r>
      <w:r w:rsidRPr="00C069E4">
        <w:rPr>
          <w:rStyle w:val="Emphasis"/>
          <w:i w:val="0"/>
          <w:iCs w:val="0"/>
        </w:rPr>
        <w:t>et</w:t>
      </w:r>
      <w:r w:rsidR="008813B9">
        <w:rPr>
          <w:rStyle w:val="Emphasis"/>
          <w:i w:val="0"/>
          <w:iCs w:val="0"/>
        </w:rPr>
        <w:t xml:space="preserve"> </w:t>
      </w:r>
      <w:r w:rsidRPr="00C069E4">
        <w:rPr>
          <w:rStyle w:val="Emphasis"/>
          <w:i w:val="0"/>
          <w:iCs w:val="0"/>
        </w:rPr>
        <w:t>al</w:t>
      </w:r>
      <w:r w:rsidRPr="00C069E4">
        <w:t>.,</w:t>
      </w:r>
      <w:r>
        <w:t xml:space="preserve"> “</w:t>
      </w:r>
      <w:r w:rsidRPr="00C069E4">
        <w:t xml:space="preserve">A </w:t>
      </w:r>
      <w:r w:rsidR="00F76C31">
        <w:t>b</w:t>
      </w:r>
      <w:r w:rsidRPr="00C069E4">
        <w:t xml:space="preserve">roadband </w:t>
      </w:r>
      <w:r w:rsidR="00F76C31">
        <w:t>s</w:t>
      </w:r>
      <w:r w:rsidRPr="00C069E4">
        <w:t xml:space="preserve">witchable </w:t>
      </w:r>
      <w:r w:rsidR="00F76C31">
        <w:t>m</w:t>
      </w:r>
      <w:r w:rsidRPr="00C069E4">
        <w:t xml:space="preserve">etamaterial </w:t>
      </w:r>
      <w:r w:rsidR="00F76C31">
        <w:t>a</w:t>
      </w:r>
      <w:r w:rsidRPr="00C069E4">
        <w:t>bsorber/</w:t>
      </w:r>
      <w:r w:rsidR="00F76C31">
        <w:t>r</w:t>
      </w:r>
      <w:r w:rsidRPr="00C069E4">
        <w:t xml:space="preserve">eflector </w:t>
      </w:r>
      <w:r w:rsidR="00F76C31">
        <w:t>b</w:t>
      </w:r>
      <w:r w:rsidRPr="00C069E4">
        <w:t xml:space="preserve">ased </w:t>
      </w:r>
      <w:r w:rsidR="00F76C31">
        <w:t>o</w:t>
      </w:r>
      <w:r w:rsidRPr="00C069E4">
        <w:t xml:space="preserve">n </w:t>
      </w:r>
      <w:r w:rsidR="00F76C31">
        <w:t>m</w:t>
      </w:r>
      <w:r w:rsidRPr="00C069E4">
        <w:t>ulti-</w:t>
      </w:r>
      <w:r w:rsidR="00F76C31">
        <w:t>l</w:t>
      </w:r>
      <w:r w:rsidRPr="00C069E4">
        <w:t xml:space="preserve">aps </w:t>
      </w:r>
      <w:r w:rsidR="00F76C31">
        <w:t>g</w:t>
      </w:r>
      <w:r w:rsidRPr="00C069E4">
        <w:t xml:space="preserve">raphene </w:t>
      </w:r>
      <w:r w:rsidR="00F76C31">
        <w:t>s</w:t>
      </w:r>
      <w:r w:rsidRPr="00C069E4">
        <w:t xml:space="preserve">heets in the </w:t>
      </w:r>
      <w:r w:rsidR="00F76C31">
        <w:t>t</w:t>
      </w:r>
      <w:r w:rsidRPr="00C069E4">
        <w:t xml:space="preserve">erahertz </w:t>
      </w:r>
      <w:r w:rsidR="00F76C31">
        <w:t>b</w:t>
      </w:r>
      <w:r w:rsidRPr="00C069E4">
        <w:t>and,</w:t>
      </w:r>
      <w:r w:rsidR="001D7D86">
        <w:t xml:space="preserve">” </w:t>
      </w:r>
      <w:r w:rsidRPr="00C069E4">
        <w:t>in </w:t>
      </w:r>
      <w:r w:rsidRPr="00C069E4">
        <w:rPr>
          <w:rStyle w:val="Emphasis"/>
          <w:i w:val="0"/>
          <w:iCs w:val="0"/>
        </w:rPr>
        <w:t>IEEE Photonics Journal</w:t>
      </w:r>
      <w:r w:rsidRPr="00C069E4">
        <w:t>, vol. 13, no. 5, pp. 1-8, Oct. 2021.</w:t>
      </w:r>
    </w:p>
    <w:p w14:paraId="717A4631" w14:textId="35D06A01" w:rsidR="001D7D86" w:rsidRDefault="008A6A05" w:rsidP="008A6A05">
      <w:pPr>
        <w:pStyle w:val="references"/>
      </w:pPr>
      <w:r w:rsidRPr="008A6A05">
        <w:t xml:space="preserve">P. -Y. Chen and A. Alù, </w:t>
      </w:r>
      <w:r>
        <w:t>“</w:t>
      </w:r>
      <w:r w:rsidRPr="008A6A05">
        <w:t xml:space="preserve">Terahertz </w:t>
      </w:r>
      <w:r w:rsidR="00F76C31">
        <w:t>m</w:t>
      </w:r>
      <w:r w:rsidRPr="008A6A05">
        <w:t xml:space="preserve">etamaterial </w:t>
      </w:r>
      <w:r w:rsidR="00F76C31">
        <w:t>d</w:t>
      </w:r>
      <w:r w:rsidRPr="008A6A05">
        <w:t xml:space="preserve">evices </w:t>
      </w:r>
      <w:r w:rsidR="00F76C31">
        <w:t>b</w:t>
      </w:r>
      <w:r w:rsidRPr="008A6A05">
        <w:t xml:space="preserve">ased on </w:t>
      </w:r>
      <w:r w:rsidR="00F76C31">
        <w:t>g</w:t>
      </w:r>
      <w:r w:rsidRPr="008A6A05">
        <w:t xml:space="preserve">raphene </w:t>
      </w:r>
      <w:r w:rsidR="00F76C31">
        <w:t>n</w:t>
      </w:r>
      <w:r w:rsidRPr="008A6A05">
        <w:t>anostructures,</w:t>
      </w:r>
      <w:r>
        <w:t>”</w:t>
      </w:r>
      <w:r w:rsidRPr="008A6A05">
        <w:t xml:space="preserve"> in </w:t>
      </w:r>
      <w:r w:rsidRPr="008A6A05">
        <w:rPr>
          <w:rStyle w:val="Emphasis"/>
          <w:i w:val="0"/>
          <w:iCs w:val="0"/>
        </w:rPr>
        <w:t>IEEE Transactions on Terahertz Science and Technology</w:t>
      </w:r>
      <w:r w:rsidRPr="008A6A05">
        <w:t>, vol. 3, no. 6, pp. 748-756, Nov. 2013.</w:t>
      </w:r>
    </w:p>
    <w:p w14:paraId="402A0587" w14:textId="52D790BD" w:rsidR="00171878" w:rsidRPr="00171878" w:rsidRDefault="00171878" w:rsidP="00171878">
      <w:pPr>
        <w:pStyle w:val="references"/>
      </w:pPr>
      <w:r w:rsidRPr="00171878">
        <w:t>F. B. Zarrabi, M. T. Islam, F. Kazemi and M. R. Rakhshani,</w:t>
      </w:r>
      <w:r w:rsidR="008813B9">
        <w:t xml:space="preserve"> “</w:t>
      </w:r>
      <w:r w:rsidRPr="00171878">
        <w:t xml:space="preserve">Miniaturization of the THz </w:t>
      </w:r>
      <w:r w:rsidR="00F76C31">
        <w:t>p</w:t>
      </w:r>
      <w:r w:rsidRPr="00171878">
        <w:t xml:space="preserve">erfect </w:t>
      </w:r>
      <w:r w:rsidR="00F76C31">
        <w:t>a</w:t>
      </w:r>
      <w:r w:rsidRPr="00171878">
        <w:t xml:space="preserve">bsorber </w:t>
      </w:r>
      <w:r w:rsidR="00F76C31">
        <w:t>b</w:t>
      </w:r>
      <w:r w:rsidRPr="00171878">
        <w:t xml:space="preserve">ased on </w:t>
      </w:r>
      <w:r w:rsidR="00F76C31">
        <w:t>v</w:t>
      </w:r>
      <w:r w:rsidRPr="00171878">
        <w:t xml:space="preserve">arious </w:t>
      </w:r>
      <w:r w:rsidR="00F76C31">
        <w:t>s</w:t>
      </w:r>
      <w:r w:rsidRPr="00171878">
        <w:t xml:space="preserve">poof </w:t>
      </w:r>
      <w:r w:rsidR="00F76C31">
        <w:t>t</w:t>
      </w:r>
      <w:r w:rsidRPr="00171878">
        <w:t>opologies,</w:t>
      </w:r>
      <w:r w:rsidR="008813B9">
        <w:t>”</w:t>
      </w:r>
      <w:r w:rsidRPr="00171878">
        <w:t xml:space="preserve"> in </w:t>
      </w:r>
      <w:r w:rsidRPr="00171878">
        <w:rPr>
          <w:rStyle w:val="Emphasis"/>
          <w:i w:val="0"/>
          <w:iCs w:val="0"/>
        </w:rPr>
        <w:t>IEEE Transactions on Plasma Science</w:t>
      </w:r>
      <w:r w:rsidRPr="00171878">
        <w:t>, vol. 53, no. 7, pp. 1652-1659, July 2025.</w:t>
      </w:r>
    </w:p>
    <w:p w14:paraId="3BD075CA" w14:textId="3000EFF4" w:rsidR="008A6A05" w:rsidRDefault="00D209B9" w:rsidP="00D209B9">
      <w:pPr>
        <w:pStyle w:val="references"/>
      </w:pPr>
      <w:r w:rsidRPr="00D209B9">
        <w:lastRenderedPageBreak/>
        <w:t>S. B. Amlashi, M. Khalily, V. Singh, P. Xiao, J. D. Carey and R. Tafazolli,</w:t>
      </w:r>
      <w:r w:rsidR="008813B9">
        <w:t xml:space="preserve"> </w:t>
      </w:r>
      <w:r>
        <w:t>“</w:t>
      </w:r>
      <w:r w:rsidRPr="00D209B9">
        <w:t xml:space="preserve">Surface </w:t>
      </w:r>
      <w:r w:rsidR="00F76C31">
        <w:t>e</w:t>
      </w:r>
      <w:r w:rsidRPr="00D209B9">
        <w:t xml:space="preserve">lectromagnetic </w:t>
      </w:r>
      <w:r w:rsidR="00F76C31">
        <w:t>p</w:t>
      </w:r>
      <w:r w:rsidRPr="00D209B9">
        <w:t xml:space="preserve">erformance </w:t>
      </w:r>
      <w:r w:rsidR="00F76C31">
        <w:t>a</w:t>
      </w:r>
      <w:r w:rsidRPr="00D209B9">
        <w:t xml:space="preserve">nalysis of a </w:t>
      </w:r>
      <w:r w:rsidR="00F76C31">
        <w:t>g</w:t>
      </w:r>
      <w:r w:rsidRPr="00D209B9">
        <w:t>raphene-</w:t>
      </w:r>
      <w:r w:rsidR="00F76C31">
        <w:t>b</w:t>
      </w:r>
      <w:r w:rsidRPr="00D209B9">
        <w:t xml:space="preserve">ased </w:t>
      </w:r>
      <w:r w:rsidR="00F76C31">
        <w:t>t</w:t>
      </w:r>
      <w:r w:rsidRPr="00D209B9">
        <w:t xml:space="preserve">erahertz </w:t>
      </w:r>
      <w:r w:rsidR="00F76C31">
        <w:t>s</w:t>
      </w:r>
      <w:r w:rsidRPr="00D209B9">
        <w:t xml:space="preserve">ensor </w:t>
      </w:r>
      <w:r w:rsidR="00F76C31">
        <w:t>u</w:t>
      </w:r>
      <w:r w:rsidRPr="00D209B9">
        <w:t xml:space="preserve">sing a </w:t>
      </w:r>
      <w:r w:rsidR="00F76C31">
        <w:t>n</w:t>
      </w:r>
      <w:r w:rsidRPr="00D209B9">
        <w:t xml:space="preserve">ovel </w:t>
      </w:r>
      <w:r w:rsidR="00F76C31">
        <w:t>s</w:t>
      </w:r>
      <w:r w:rsidRPr="00D209B9">
        <w:t xml:space="preserve">pectroscopy </w:t>
      </w:r>
      <w:r w:rsidR="00F76C31">
        <w:t>t</w:t>
      </w:r>
      <w:r w:rsidRPr="00D209B9">
        <w:t>echnique,</w:t>
      </w:r>
      <w:r>
        <w:t>”</w:t>
      </w:r>
      <w:r w:rsidRPr="00D209B9">
        <w:t xml:space="preserve"> in </w:t>
      </w:r>
      <w:r w:rsidRPr="00D209B9">
        <w:rPr>
          <w:rStyle w:val="Emphasis"/>
          <w:i w:val="0"/>
          <w:iCs w:val="0"/>
        </w:rPr>
        <w:t>IEEE Journal on Selected Areas in Communications</w:t>
      </w:r>
      <w:r w:rsidRPr="00D209B9">
        <w:t>, vol. 39, no. 6, pp. 1797-1816, June 2021.</w:t>
      </w:r>
    </w:p>
    <w:p w14:paraId="66265378" w14:textId="342BFA86" w:rsidR="00D209B9" w:rsidRDefault="00D209B9" w:rsidP="00D209B9">
      <w:pPr>
        <w:pStyle w:val="references"/>
      </w:pPr>
      <w:r w:rsidRPr="00D209B9">
        <w:t>J. Crabb, X. Cantos-Roman, G. R. Aizin and J. M. Jornet,</w:t>
      </w:r>
      <w:r w:rsidR="00EE45EE">
        <w:t xml:space="preserve"> “</w:t>
      </w:r>
      <w:r w:rsidRPr="00D209B9">
        <w:t xml:space="preserve">Amplitude and </w:t>
      </w:r>
      <w:r w:rsidR="00F76C31">
        <w:t>f</w:t>
      </w:r>
      <w:r w:rsidRPr="00D209B9">
        <w:t xml:space="preserve">requency </w:t>
      </w:r>
      <w:r w:rsidR="00F76C31">
        <w:t>m</w:t>
      </w:r>
      <w:r w:rsidRPr="00D209B9">
        <w:t xml:space="preserve">odulation </w:t>
      </w:r>
      <w:r w:rsidR="00F76C31">
        <w:t>w</w:t>
      </w:r>
      <w:r w:rsidRPr="00D209B9">
        <w:t xml:space="preserve">ith an </w:t>
      </w:r>
      <w:r w:rsidR="00F76C31">
        <w:t>o</w:t>
      </w:r>
      <w:r w:rsidRPr="00D209B9">
        <w:t>n-</w:t>
      </w:r>
      <w:r w:rsidR="00F76C31">
        <w:t>c</w:t>
      </w:r>
      <w:r w:rsidRPr="00D209B9">
        <w:t xml:space="preserve">hip </w:t>
      </w:r>
      <w:r w:rsidR="00F76C31">
        <w:t>g</w:t>
      </w:r>
      <w:r w:rsidRPr="00D209B9">
        <w:t>raphene-</w:t>
      </w:r>
      <w:r w:rsidR="00F76C31">
        <w:t>b</w:t>
      </w:r>
      <w:r w:rsidRPr="00D209B9">
        <w:t xml:space="preserve">ased </w:t>
      </w:r>
      <w:r w:rsidR="00F76C31">
        <w:t>p</w:t>
      </w:r>
      <w:r w:rsidRPr="00D209B9">
        <w:t xml:space="preserve">lasmonic </w:t>
      </w:r>
      <w:r w:rsidR="00F76C31">
        <w:t>t</w:t>
      </w:r>
      <w:r w:rsidRPr="00D209B9">
        <w:t xml:space="preserve">erahertz </w:t>
      </w:r>
      <w:r w:rsidR="00F76C31">
        <w:t>n</w:t>
      </w:r>
      <w:r w:rsidRPr="00D209B9">
        <w:t>anogenerator,</w:t>
      </w:r>
      <w:r w:rsidR="00EE45EE">
        <w:t>”</w:t>
      </w:r>
      <w:r w:rsidRPr="00D209B9">
        <w:t xml:space="preserve"> in </w:t>
      </w:r>
      <w:r w:rsidRPr="00D209B9">
        <w:rPr>
          <w:rStyle w:val="Emphasis"/>
          <w:i w:val="0"/>
          <w:iCs w:val="0"/>
        </w:rPr>
        <w:t>IEEE Transactions on Nanotechnology</w:t>
      </w:r>
      <w:r w:rsidRPr="00D209B9">
        <w:t>, vol. 21, pp. 539-546, 2022.</w:t>
      </w:r>
    </w:p>
    <w:p w14:paraId="55DF2D0E" w14:textId="28B01F7C" w:rsidR="00EE45EE" w:rsidRDefault="00EE45EE" w:rsidP="00EE45EE">
      <w:pPr>
        <w:pStyle w:val="references"/>
      </w:pPr>
      <w:r w:rsidRPr="00EE45EE">
        <w:t xml:space="preserve">T. Chen, D. Liang and W. Jiang, </w:t>
      </w:r>
      <w:r>
        <w:t>“</w:t>
      </w:r>
      <w:r w:rsidRPr="00EE45EE">
        <w:t xml:space="preserve">A </w:t>
      </w:r>
      <w:r w:rsidR="00F76C31">
        <w:t>t</w:t>
      </w:r>
      <w:r w:rsidRPr="00EE45EE">
        <w:t xml:space="preserve">unable </w:t>
      </w:r>
      <w:r w:rsidR="00F76C31">
        <w:t>t</w:t>
      </w:r>
      <w:r w:rsidRPr="00EE45EE">
        <w:t xml:space="preserve">erahertz </w:t>
      </w:r>
      <w:r w:rsidR="00F76C31">
        <w:t>g</w:t>
      </w:r>
      <w:r w:rsidRPr="00EE45EE">
        <w:t xml:space="preserve">raphene </w:t>
      </w:r>
      <w:r w:rsidR="00F76C31">
        <w:t>m</w:t>
      </w:r>
      <w:r w:rsidRPr="00EE45EE">
        <w:t xml:space="preserve">etamaterial </w:t>
      </w:r>
      <w:r w:rsidR="00F76C31">
        <w:t>s</w:t>
      </w:r>
      <w:r w:rsidRPr="00EE45EE">
        <w:t xml:space="preserve">ensor </w:t>
      </w:r>
      <w:r w:rsidR="00F76C31">
        <w:t>b</w:t>
      </w:r>
      <w:r w:rsidRPr="00EE45EE">
        <w:t xml:space="preserve">ased on </w:t>
      </w:r>
      <w:r w:rsidR="00F76C31">
        <w:t>d</w:t>
      </w:r>
      <w:r w:rsidRPr="00EE45EE">
        <w:t xml:space="preserve">ual </w:t>
      </w:r>
      <w:r w:rsidR="00F76C31">
        <w:t>p</w:t>
      </w:r>
      <w:r w:rsidRPr="00EE45EE">
        <w:t xml:space="preserve">olarized </w:t>
      </w:r>
      <w:r w:rsidR="00F76C31">
        <w:t>p</w:t>
      </w:r>
      <w:r w:rsidRPr="00EE45EE">
        <w:t>lasmon-</w:t>
      </w:r>
      <w:r w:rsidR="00F76C31">
        <w:t>i</w:t>
      </w:r>
      <w:r w:rsidRPr="00EE45EE">
        <w:t xml:space="preserve">nduced </w:t>
      </w:r>
      <w:r w:rsidR="00F76C31">
        <w:t>t</w:t>
      </w:r>
      <w:r w:rsidRPr="00EE45EE">
        <w:t>ransparency,</w:t>
      </w:r>
      <w:r>
        <w:t>”</w:t>
      </w:r>
      <w:r w:rsidRPr="00EE45EE">
        <w:t xml:space="preserve"> in </w:t>
      </w:r>
      <w:r w:rsidRPr="00EE45EE">
        <w:rPr>
          <w:rStyle w:val="Emphasis"/>
          <w:i w:val="0"/>
          <w:iCs w:val="0"/>
        </w:rPr>
        <w:t>IEEE Sensors Journal</w:t>
      </w:r>
      <w:r w:rsidRPr="00EE45EE">
        <w:t>, vol. 22, no. 14, pp. 14084-14090, 15 July15, 2022.</w:t>
      </w:r>
    </w:p>
    <w:p w14:paraId="4F6C7818" w14:textId="77543C35" w:rsidR="008E4C10" w:rsidRDefault="008E4C10" w:rsidP="008E4C10">
      <w:pPr>
        <w:pStyle w:val="references"/>
      </w:pPr>
      <w:r w:rsidRPr="008E4C10">
        <w:t xml:space="preserve">M. Saqlain, M. A. Baqir and P. K. Choudhury, </w:t>
      </w:r>
      <w:r>
        <w:t>“</w:t>
      </w:r>
      <w:r w:rsidRPr="008E4C10">
        <w:t xml:space="preserve">MXene- and </w:t>
      </w:r>
      <w:r w:rsidR="00F76C31">
        <w:t>g</w:t>
      </w:r>
      <w:r w:rsidRPr="008E4C10">
        <w:t>raphene-</w:t>
      </w:r>
      <w:r w:rsidR="00F76C31">
        <w:t>a</w:t>
      </w:r>
      <w:r w:rsidRPr="008E4C10">
        <w:t xml:space="preserve">ssisted THz </w:t>
      </w:r>
      <w:r w:rsidR="00F76C31">
        <w:t>m</w:t>
      </w:r>
      <w:r w:rsidRPr="008E4C10">
        <w:t xml:space="preserve">etamaterial for </w:t>
      </w:r>
      <w:r w:rsidR="00F76C31">
        <w:t>c</w:t>
      </w:r>
      <w:r w:rsidRPr="008E4C10">
        <w:t xml:space="preserve">ancer </w:t>
      </w:r>
      <w:r w:rsidR="00F76C31">
        <w:t>c</w:t>
      </w:r>
      <w:r w:rsidRPr="008E4C10">
        <w:t xml:space="preserve">ells </w:t>
      </w:r>
      <w:r w:rsidR="00F76C31">
        <w:t>d</w:t>
      </w:r>
      <w:r w:rsidRPr="008E4C10">
        <w:t xml:space="preserve">etection </w:t>
      </w:r>
      <w:r w:rsidR="00F76C31">
        <w:t>b</w:t>
      </w:r>
      <w:r w:rsidRPr="008E4C10">
        <w:t xml:space="preserve">ased on </w:t>
      </w:r>
      <w:r w:rsidR="00F76C31">
        <w:t>r</w:t>
      </w:r>
      <w:r w:rsidRPr="008E4C10">
        <w:t xml:space="preserve">efractive </w:t>
      </w:r>
      <w:r w:rsidR="00F76C31">
        <w:t>i</w:t>
      </w:r>
      <w:r w:rsidRPr="008E4C10">
        <w:t xml:space="preserve">ndex </w:t>
      </w:r>
      <w:r w:rsidR="00F76C31">
        <w:t>s</w:t>
      </w:r>
      <w:r w:rsidRPr="008E4C10">
        <w:t>ensing,</w:t>
      </w:r>
      <w:r>
        <w:t>”</w:t>
      </w:r>
      <w:r w:rsidRPr="008E4C10">
        <w:t xml:space="preserve"> in </w:t>
      </w:r>
      <w:r w:rsidRPr="008E4C10">
        <w:rPr>
          <w:rStyle w:val="Emphasis"/>
          <w:i w:val="0"/>
          <w:iCs w:val="0"/>
        </w:rPr>
        <w:t>IEEE Transactions on Nanotechnology</w:t>
      </w:r>
      <w:r w:rsidRPr="008E4C10">
        <w:t>, vol. 23, pp. 652-657, 2024.</w:t>
      </w:r>
    </w:p>
    <w:p w14:paraId="62FAD15C" w14:textId="667E95AF" w:rsidR="008E4C10" w:rsidRPr="008E4C10" w:rsidRDefault="008E4C10" w:rsidP="008E4C10">
      <w:pPr>
        <w:pStyle w:val="references"/>
      </w:pPr>
      <w:r w:rsidRPr="008E4C10">
        <w:t xml:space="preserve">Y. Huang, S. Zhong, H. Yao and D. Cui, </w:t>
      </w:r>
      <w:r>
        <w:t>“</w:t>
      </w:r>
      <w:r w:rsidRPr="008E4C10">
        <w:t xml:space="preserve">Tunable </w:t>
      </w:r>
      <w:r w:rsidR="00F76C31">
        <w:t>t</w:t>
      </w:r>
      <w:r w:rsidRPr="008E4C10">
        <w:t xml:space="preserve">erahertz </w:t>
      </w:r>
      <w:r w:rsidR="00F76C31">
        <w:t>p</w:t>
      </w:r>
      <w:r w:rsidRPr="008E4C10">
        <w:t xml:space="preserve">lasmonic </w:t>
      </w:r>
      <w:r w:rsidR="00F76C31">
        <w:t>s</w:t>
      </w:r>
      <w:r w:rsidRPr="008E4C10">
        <w:t xml:space="preserve">ensor </w:t>
      </w:r>
      <w:r w:rsidR="00F76C31">
        <w:t>b</w:t>
      </w:r>
      <w:r w:rsidRPr="008E4C10">
        <w:t xml:space="preserve">ased on </w:t>
      </w:r>
      <w:r w:rsidR="00F76C31">
        <w:t>g</w:t>
      </w:r>
      <w:r w:rsidRPr="008E4C10">
        <w:t>raphene/</w:t>
      </w:r>
      <w:r w:rsidR="00F76C31">
        <w:t>i</w:t>
      </w:r>
      <w:r w:rsidRPr="008E4C10">
        <w:t xml:space="preserve">nsulator </w:t>
      </w:r>
      <w:r w:rsidR="00F76C31">
        <w:t>s</w:t>
      </w:r>
      <w:r w:rsidRPr="008E4C10">
        <w:t>tacks,</w:t>
      </w:r>
      <w:r>
        <w:t>”</w:t>
      </w:r>
      <w:r w:rsidRPr="008E4C10">
        <w:t xml:space="preserve"> in </w:t>
      </w:r>
      <w:r w:rsidRPr="008E4C10">
        <w:rPr>
          <w:rStyle w:val="Emphasis"/>
          <w:i w:val="0"/>
          <w:iCs w:val="0"/>
        </w:rPr>
        <w:t>IEEE Photonics Journal</w:t>
      </w:r>
      <w:r w:rsidRPr="008E4C10">
        <w:t>, vol. 9, no. 1, pp. 1-10, Feb. 2017.</w:t>
      </w:r>
    </w:p>
    <w:p w14:paraId="771B3A83" w14:textId="635367E7" w:rsidR="00EE45EE" w:rsidRDefault="00F56A3B" w:rsidP="00F56A3B">
      <w:pPr>
        <w:pStyle w:val="references"/>
      </w:pPr>
      <w:r w:rsidRPr="00F56A3B">
        <w:t xml:space="preserve">N. K. Panda, S. Mohapatra and S. Sahu, </w:t>
      </w:r>
      <w:r>
        <w:t>“</w:t>
      </w:r>
      <w:r w:rsidRPr="00F56A3B">
        <w:t xml:space="preserve">Polarization </w:t>
      </w:r>
      <w:r w:rsidR="00F76C31">
        <w:t>i</w:t>
      </w:r>
      <w:r w:rsidRPr="00F56A3B">
        <w:t xml:space="preserve">nsensitive </w:t>
      </w:r>
      <w:r w:rsidR="00F76C31">
        <w:t>g</w:t>
      </w:r>
      <w:r w:rsidRPr="00F56A3B">
        <w:t xml:space="preserve">raphene </w:t>
      </w:r>
      <w:r w:rsidR="00F76C31">
        <w:t>b</w:t>
      </w:r>
      <w:r w:rsidRPr="00F56A3B">
        <w:t xml:space="preserve">ased </w:t>
      </w:r>
      <w:r w:rsidR="00F76C31">
        <w:t>t</w:t>
      </w:r>
      <w:r w:rsidRPr="00F56A3B">
        <w:t xml:space="preserve">unable </w:t>
      </w:r>
      <w:r w:rsidR="00F76C31">
        <w:t>m</w:t>
      </w:r>
      <w:r w:rsidRPr="00F56A3B">
        <w:t xml:space="preserve">etasurface </w:t>
      </w:r>
      <w:r w:rsidR="00F76C31">
        <w:t>t</w:t>
      </w:r>
      <w:r w:rsidRPr="00F56A3B">
        <w:t xml:space="preserve">erahertz </w:t>
      </w:r>
      <w:r w:rsidR="00F76C31">
        <w:t>d</w:t>
      </w:r>
      <w:r w:rsidRPr="00F56A3B">
        <w:t>ual-</w:t>
      </w:r>
      <w:r w:rsidR="00F76C31">
        <w:t>b</w:t>
      </w:r>
      <w:r w:rsidRPr="00F56A3B">
        <w:t xml:space="preserve">and </w:t>
      </w:r>
      <w:r w:rsidR="00F76C31">
        <w:t>a</w:t>
      </w:r>
      <w:r w:rsidRPr="00F56A3B">
        <w:t>bsorber,</w:t>
      </w:r>
      <w:r>
        <w:t>”</w:t>
      </w:r>
      <w:r w:rsidRPr="00F56A3B">
        <w:t xml:space="preserve"> in </w:t>
      </w:r>
      <w:r w:rsidRPr="00F56A3B">
        <w:rPr>
          <w:rStyle w:val="Emphasis"/>
          <w:i w:val="0"/>
          <w:iCs w:val="0"/>
        </w:rPr>
        <w:t>IEEE Transactions on Nanotechnology</w:t>
      </w:r>
      <w:r w:rsidRPr="00F56A3B">
        <w:t>, vol. 24, pp. 34-41, 2025.</w:t>
      </w:r>
    </w:p>
    <w:p w14:paraId="4B5F11D6" w14:textId="6A85175D" w:rsidR="00F56A3B" w:rsidRDefault="00F56A3B" w:rsidP="00F56A3B">
      <w:pPr>
        <w:pStyle w:val="references"/>
      </w:pPr>
      <w:r w:rsidRPr="00F56A3B">
        <w:t xml:space="preserve">V. S. Yadav, B. K. Kaushik and A. Patnaik, </w:t>
      </w:r>
      <w:r w:rsidR="000B28BF">
        <w:t>“</w:t>
      </w:r>
      <w:r w:rsidRPr="00F56A3B">
        <w:t xml:space="preserve">Broadband THz </w:t>
      </w:r>
      <w:r w:rsidR="00F76C31">
        <w:t>a</w:t>
      </w:r>
      <w:r w:rsidRPr="00F56A3B">
        <w:t xml:space="preserve">bsorber for </w:t>
      </w:r>
      <w:r w:rsidR="00F76C31">
        <w:t>l</w:t>
      </w:r>
      <w:r w:rsidRPr="00F56A3B">
        <w:t xml:space="preserve">arge </w:t>
      </w:r>
      <w:r w:rsidR="00F76C31">
        <w:t>i</w:t>
      </w:r>
      <w:r w:rsidRPr="00F56A3B">
        <w:t xml:space="preserve">nclination </w:t>
      </w:r>
      <w:r w:rsidR="00F76C31">
        <w:t>a</w:t>
      </w:r>
      <w:r w:rsidRPr="00F56A3B">
        <w:t xml:space="preserve">ngle TE and TM </w:t>
      </w:r>
      <w:r w:rsidR="00F76C31">
        <w:t>w</w:t>
      </w:r>
      <w:r w:rsidRPr="00F56A3B">
        <w:t>aves,</w:t>
      </w:r>
      <w:r w:rsidR="000B28BF">
        <w:t>”</w:t>
      </w:r>
      <w:r w:rsidRPr="00F56A3B">
        <w:t xml:space="preserve"> in </w:t>
      </w:r>
      <w:r w:rsidRPr="00F56A3B">
        <w:rPr>
          <w:rStyle w:val="Emphasis"/>
          <w:i w:val="0"/>
          <w:iCs w:val="0"/>
        </w:rPr>
        <w:t>IEEE Photonics Journal</w:t>
      </w:r>
      <w:r w:rsidRPr="00F56A3B">
        <w:t>, vol. 13, no. 5, pp. 1-7, Oct. 2021.</w:t>
      </w:r>
    </w:p>
    <w:p w14:paraId="4F77EE24" w14:textId="2EF3E40E" w:rsidR="00F56A3B" w:rsidRDefault="000B28BF" w:rsidP="000B28BF">
      <w:pPr>
        <w:pStyle w:val="references"/>
      </w:pPr>
      <w:r w:rsidRPr="000B28BF">
        <w:t xml:space="preserve">P. -Y. Chen, C. Argyropoulos and A. Alù, </w:t>
      </w:r>
      <w:r>
        <w:t>“</w:t>
      </w:r>
      <w:r w:rsidRPr="000B28BF">
        <w:t xml:space="preserve">Terahertz </w:t>
      </w:r>
      <w:r w:rsidR="00F76C31">
        <w:t>a</w:t>
      </w:r>
      <w:r w:rsidRPr="000B28BF">
        <w:t xml:space="preserve">ntenna </w:t>
      </w:r>
      <w:r w:rsidR="00F76C31">
        <w:t>p</w:t>
      </w:r>
      <w:r w:rsidRPr="000B28BF">
        <w:t xml:space="preserve">hase </w:t>
      </w:r>
      <w:r w:rsidR="00F76C31">
        <w:t>s</w:t>
      </w:r>
      <w:r w:rsidRPr="000B28BF">
        <w:t xml:space="preserve">hifters </w:t>
      </w:r>
      <w:r w:rsidR="00F76C31">
        <w:t>u</w:t>
      </w:r>
      <w:r w:rsidRPr="000B28BF">
        <w:t xml:space="preserve">sing </w:t>
      </w:r>
      <w:r w:rsidR="00F76C31">
        <w:t>i</w:t>
      </w:r>
      <w:r w:rsidRPr="000B28BF">
        <w:t>ntegrally-</w:t>
      </w:r>
      <w:r w:rsidR="00F76C31">
        <w:t>g</w:t>
      </w:r>
      <w:r w:rsidRPr="000B28BF">
        <w:t xml:space="preserve">ated </w:t>
      </w:r>
      <w:r w:rsidR="00F76C31">
        <w:t>g</w:t>
      </w:r>
      <w:r w:rsidRPr="000B28BF">
        <w:t xml:space="preserve">raphene </w:t>
      </w:r>
      <w:r w:rsidR="00F76C31">
        <w:t>t</w:t>
      </w:r>
      <w:r w:rsidRPr="000B28BF">
        <w:t>ransmission-</w:t>
      </w:r>
      <w:r w:rsidR="00F76C31">
        <w:t>l</w:t>
      </w:r>
      <w:r w:rsidRPr="000B28BF">
        <w:t>ines,</w:t>
      </w:r>
      <w:r>
        <w:t xml:space="preserve">” </w:t>
      </w:r>
      <w:r w:rsidRPr="000B28BF">
        <w:t>in </w:t>
      </w:r>
      <w:r w:rsidRPr="000B28BF">
        <w:rPr>
          <w:rStyle w:val="Emphasis"/>
          <w:i w:val="0"/>
          <w:iCs w:val="0"/>
        </w:rPr>
        <w:t>IEEE Transactions on Antennas and Propagation</w:t>
      </w:r>
      <w:r w:rsidRPr="000B28BF">
        <w:t>, vol. 61, no. 4, pp. 1528-1537, April 2013.</w:t>
      </w:r>
    </w:p>
    <w:p w14:paraId="2CBC4D6A" w14:textId="48A31B17" w:rsidR="00FB62B1" w:rsidRPr="00FB62B1" w:rsidRDefault="000B28BF" w:rsidP="00FB62B1">
      <w:pPr>
        <w:pStyle w:val="references"/>
        <w:sectPr w:rsidR="00FB62B1" w:rsidRPr="00FB62B1" w:rsidSect="003B4E04">
          <w:type w:val="continuous"/>
          <w:pgSz w:w="595.30pt" w:h="841.90pt" w:code="9"/>
          <w:pgMar w:top="54pt" w:right="45.35pt" w:bottom="72pt" w:left="45.35pt" w:header="36pt" w:footer="36pt" w:gutter="0pt"/>
          <w:cols w:num="2" w:space="18pt"/>
          <w:docGrid w:linePitch="360"/>
        </w:sectPr>
      </w:pPr>
      <w:r w:rsidRPr="000B28BF">
        <w:t xml:space="preserve">M. Rezeg, A. Hlali and H. Zairi, </w:t>
      </w:r>
      <w:r>
        <w:t>“</w:t>
      </w:r>
      <w:r w:rsidRPr="000B28BF">
        <w:t xml:space="preserve">THz </w:t>
      </w:r>
      <w:r w:rsidR="00F76C31">
        <w:t>b</w:t>
      </w:r>
      <w:r w:rsidRPr="000B28BF">
        <w:t xml:space="preserve">iomedical </w:t>
      </w:r>
      <w:r w:rsidR="00FB1F29">
        <w:t>s</w:t>
      </w:r>
      <w:r w:rsidRPr="000B28BF">
        <w:t xml:space="preserve">ensing for </w:t>
      </w:r>
      <w:r w:rsidR="00FB1F29">
        <w:t>e</w:t>
      </w:r>
      <w:r w:rsidRPr="000B28BF">
        <w:t xml:space="preserve">arly </w:t>
      </w:r>
      <w:r w:rsidR="00FB1F29">
        <w:t>c</w:t>
      </w:r>
      <w:r w:rsidRPr="000B28BF">
        <w:t xml:space="preserve">ancer </w:t>
      </w:r>
      <w:r w:rsidR="00FB1F29">
        <w:t>d</w:t>
      </w:r>
      <w:r w:rsidRPr="000B28BF">
        <w:t xml:space="preserve">etection: </w:t>
      </w:r>
      <w:r w:rsidR="00FB1F29">
        <w:t>m</w:t>
      </w:r>
      <w:r w:rsidRPr="000B28BF">
        <w:t xml:space="preserve">etamaterial </w:t>
      </w:r>
      <w:r w:rsidR="00FB1F29">
        <w:t>g</w:t>
      </w:r>
      <w:r w:rsidRPr="000B28BF">
        <w:t xml:space="preserve">raphene </w:t>
      </w:r>
      <w:r w:rsidR="00FB1F29">
        <w:t>b</w:t>
      </w:r>
      <w:r w:rsidRPr="000B28BF">
        <w:t xml:space="preserve">iosensors </w:t>
      </w:r>
      <w:r w:rsidR="00FB1F29">
        <w:t>w</w:t>
      </w:r>
      <w:r w:rsidRPr="000B28BF">
        <w:t xml:space="preserve">ith </w:t>
      </w:r>
      <w:r w:rsidR="00FB1F29">
        <w:t>r</w:t>
      </w:r>
      <w:r w:rsidRPr="000B28BF">
        <w:t xml:space="preserve">otated </w:t>
      </w:r>
      <w:r w:rsidR="00FB1F29">
        <w:t>s</w:t>
      </w:r>
      <w:r w:rsidRPr="000B28BF">
        <w:t>plit-</w:t>
      </w:r>
      <w:r w:rsidR="00FB1F29">
        <w:t>r</w:t>
      </w:r>
      <w:r w:rsidRPr="000B28BF">
        <w:t xml:space="preserve">ing </w:t>
      </w:r>
      <w:r w:rsidR="00FB1F29">
        <w:t>r</w:t>
      </w:r>
      <w:r w:rsidRPr="000B28BF">
        <w:t>esonators,</w:t>
      </w:r>
      <w:r>
        <w:t>”</w:t>
      </w:r>
      <w:r w:rsidRPr="000B28BF">
        <w:t xml:space="preserve"> in </w:t>
      </w:r>
      <w:r w:rsidRPr="000B28BF">
        <w:rPr>
          <w:rStyle w:val="Emphasis"/>
          <w:i w:val="0"/>
          <w:iCs w:val="0"/>
        </w:rPr>
        <w:t>IEEE Photonics Journal</w:t>
      </w:r>
      <w:r w:rsidRPr="000B28BF">
        <w:t>, vol. 16, no. 4, pp. 1-10, Aug. 2024.</w:t>
      </w:r>
    </w:p>
    <w:p w14:paraId="4EF2B8B8" w14:textId="21C9156D" w:rsidR="009303D9" w:rsidRDefault="009303D9" w:rsidP="00FB62B1">
      <w:pPr>
        <w:jc w:val="both"/>
      </w:pPr>
    </w:p>
    <w:sectPr w:rsidR="009303D9" w:rsidSect="003B4E04">
      <w:type w:val="continuous"/>
      <w:pgSz w:w="595.30pt" w:h="841.90pt" w:code="9"/>
      <w:pgMar w:top="54pt" w:right="44.65pt" w:bottom="72pt" w:left="44.65pt" w:header="36pt" w:footer="36pt" w:gutter="0pt"/>
      <w:cols w:space="36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12669209" w14:textId="77777777" w:rsidR="00847DEF" w:rsidRDefault="00847DEF" w:rsidP="001A3B3D">
      <w:r>
        <w:separator/>
      </w:r>
    </w:p>
  </w:endnote>
  <w:endnote w:type="continuationSeparator" w:id="0">
    <w:p w14:paraId="2135D9DA" w14:textId="77777777" w:rsidR="00847DEF" w:rsidRDefault="00847DEF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characterSet="iso-8859-1"/>
    <w:family w:val="roman"/>
    <w:notTrueType/>
    <w:pitch w:val="default"/>
  </w:font>
  <w:font w:name="B Nazani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69E75918" w14:textId="77777777" w:rsidR="00F84119" w:rsidRPr="006F6D3D" w:rsidRDefault="00F84119" w:rsidP="0056610F">
    <w:pPr>
      <w:pStyle w:val="Footer"/>
      <w:jc w:val="start"/>
      <w:rPr>
        <w:sz w:val="16"/>
        <w:szCs w:val="16"/>
      </w:rPr>
    </w:pPr>
    <w:r w:rsidRPr="006F6D3D">
      <w:rPr>
        <w:sz w:val="16"/>
        <w:szCs w:val="16"/>
      </w:rPr>
      <w:t>XXX-X-XXXX-XXXX-X/XX/$XX.00 ©20XX IEEE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7F412AAC" w14:textId="77777777" w:rsidR="00847DEF" w:rsidRDefault="00847DEF" w:rsidP="001A3B3D">
      <w:r>
        <w:separator/>
      </w:r>
    </w:p>
  </w:footnote>
  <w:footnote w:type="continuationSeparator" w:id="0">
    <w:p w14:paraId="1496A7A8" w14:textId="77777777" w:rsidR="00847DEF" w:rsidRDefault="00847DEF" w:rsidP="001A3B3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49A4116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9F3C5C9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12A470CC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D7429AE6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DD8846D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4D0E2EA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6E2F4EA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D8A6450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84ECE0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01EE522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2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3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4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6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17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8" w15:restartNumberingAfterBreak="0">
    <w:nsid w:val="514B781E"/>
    <w:multiLevelType w:val="hybridMultilevel"/>
    <w:tmpl w:val="DEA2ADC2"/>
    <w:lvl w:ilvl="0" w:tplc="04090015">
      <w:start w:val="1"/>
      <w:numFmt w:val="upperLetter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1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9"/>
  </w:num>
  <w:num w:numId="9">
    <w:abstractNumId w:val="21"/>
  </w:num>
  <w:num w:numId="10">
    <w:abstractNumId w:val="15"/>
  </w:num>
  <w:num w:numId="11">
    <w:abstractNumId w:val="12"/>
  </w:num>
  <w:num w:numId="12">
    <w:abstractNumId w:val="11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17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9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3D9"/>
    <w:rsid w:val="000026C8"/>
    <w:rsid w:val="00010100"/>
    <w:rsid w:val="0001134F"/>
    <w:rsid w:val="0002785F"/>
    <w:rsid w:val="000417C4"/>
    <w:rsid w:val="0004781E"/>
    <w:rsid w:val="0007350F"/>
    <w:rsid w:val="00082A13"/>
    <w:rsid w:val="0008758A"/>
    <w:rsid w:val="000924B6"/>
    <w:rsid w:val="000B2532"/>
    <w:rsid w:val="000B28BF"/>
    <w:rsid w:val="000C1E68"/>
    <w:rsid w:val="000C6570"/>
    <w:rsid w:val="000D0223"/>
    <w:rsid w:val="000D47B5"/>
    <w:rsid w:val="000E0659"/>
    <w:rsid w:val="000E3B8B"/>
    <w:rsid w:val="000E77DC"/>
    <w:rsid w:val="0010352F"/>
    <w:rsid w:val="00105CDC"/>
    <w:rsid w:val="00115736"/>
    <w:rsid w:val="001209D8"/>
    <w:rsid w:val="0013533A"/>
    <w:rsid w:val="00143CA4"/>
    <w:rsid w:val="00171878"/>
    <w:rsid w:val="00176718"/>
    <w:rsid w:val="00180369"/>
    <w:rsid w:val="0018415D"/>
    <w:rsid w:val="001A2EFD"/>
    <w:rsid w:val="001A3B3D"/>
    <w:rsid w:val="001B3D91"/>
    <w:rsid w:val="001B454F"/>
    <w:rsid w:val="001B67DC"/>
    <w:rsid w:val="001C043C"/>
    <w:rsid w:val="001C04F0"/>
    <w:rsid w:val="001D7D86"/>
    <w:rsid w:val="001E5721"/>
    <w:rsid w:val="001E79E3"/>
    <w:rsid w:val="001F1397"/>
    <w:rsid w:val="001F4738"/>
    <w:rsid w:val="0020224B"/>
    <w:rsid w:val="00207DF9"/>
    <w:rsid w:val="002254A9"/>
    <w:rsid w:val="00225AFB"/>
    <w:rsid w:val="00226106"/>
    <w:rsid w:val="00233D97"/>
    <w:rsid w:val="002347A2"/>
    <w:rsid w:val="002414CC"/>
    <w:rsid w:val="00244D92"/>
    <w:rsid w:val="00246F61"/>
    <w:rsid w:val="00265D5C"/>
    <w:rsid w:val="00271AE1"/>
    <w:rsid w:val="002850E3"/>
    <w:rsid w:val="002978B3"/>
    <w:rsid w:val="002D070A"/>
    <w:rsid w:val="002D33D1"/>
    <w:rsid w:val="002E448C"/>
    <w:rsid w:val="00307946"/>
    <w:rsid w:val="00326CB5"/>
    <w:rsid w:val="00337B7B"/>
    <w:rsid w:val="00343D30"/>
    <w:rsid w:val="00354FCF"/>
    <w:rsid w:val="003725F1"/>
    <w:rsid w:val="003761AD"/>
    <w:rsid w:val="00382A30"/>
    <w:rsid w:val="00393022"/>
    <w:rsid w:val="003A0495"/>
    <w:rsid w:val="003A19E2"/>
    <w:rsid w:val="003A1B88"/>
    <w:rsid w:val="003B2B40"/>
    <w:rsid w:val="003B4E04"/>
    <w:rsid w:val="003C6F37"/>
    <w:rsid w:val="003E1E2A"/>
    <w:rsid w:val="003F3021"/>
    <w:rsid w:val="003F5A08"/>
    <w:rsid w:val="003F7CAF"/>
    <w:rsid w:val="00417045"/>
    <w:rsid w:val="00420716"/>
    <w:rsid w:val="00420C3C"/>
    <w:rsid w:val="00423264"/>
    <w:rsid w:val="004325FB"/>
    <w:rsid w:val="00435DA3"/>
    <w:rsid w:val="004432BA"/>
    <w:rsid w:val="0044407E"/>
    <w:rsid w:val="00447BB9"/>
    <w:rsid w:val="0046031D"/>
    <w:rsid w:val="00462139"/>
    <w:rsid w:val="00473AC9"/>
    <w:rsid w:val="004A4877"/>
    <w:rsid w:val="004B4BCF"/>
    <w:rsid w:val="004C5FFF"/>
    <w:rsid w:val="004D72B5"/>
    <w:rsid w:val="004F7FB0"/>
    <w:rsid w:val="00514855"/>
    <w:rsid w:val="005167A8"/>
    <w:rsid w:val="00524F65"/>
    <w:rsid w:val="00530C51"/>
    <w:rsid w:val="00545DF7"/>
    <w:rsid w:val="00547969"/>
    <w:rsid w:val="00551B7F"/>
    <w:rsid w:val="005627E9"/>
    <w:rsid w:val="0056610F"/>
    <w:rsid w:val="0057334D"/>
    <w:rsid w:val="00575BCA"/>
    <w:rsid w:val="00583ADA"/>
    <w:rsid w:val="005858C1"/>
    <w:rsid w:val="00597A89"/>
    <w:rsid w:val="005B0344"/>
    <w:rsid w:val="005B1187"/>
    <w:rsid w:val="005B520E"/>
    <w:rsid w:val="005C001A"/>
    <w:rsid w:val="005D60C7"/>
    <w:rsid w:val="005E0CD7"/>
    <w:rsid w:val="005E2800"/>
    <w:rsid w:val="005E400D"/>
    <w:rsid w:val="005E7B28"/>
    <w:rsid w:val="00605825"/>
    <w:rsid w:val="006222D9"/>
    <w:rsid w:val="00645D22"/>
    <w:rsid w:val="00651A08"/>
    <w:rsid w:val="00654204"/>
    <w:rsid w:val="00664D8B"/>
    <w:rsid w:val="00670434"/>
    <w:rsid w:val="0067185A"/>
    <w:rsid w:val="0068173B"/>
    <w:rsid w:val="006915DE"/>
    <w:rsid w:val="00694FAA"/>
    <w:rsid w:val="006A5D82"/>
    <w:rsid w:val="006B6B66"/>
    <w:rsid w:val="006D62E2"/>
    <w:rsid w:val="006F4A9C"/>
    <w:rsid w:val="006F6D3D"/>
    <w:rsid w:val="00702554"/>
    <w:rsid w:val="00715BEA"/>
    <w:rsid w:val="0073066F"/>
    <w:rsid w:val="00735697"/>
    <w:rsid w:val="00740EEA"/>
    <w:rsid w:val="00794804"/>
    <w:rsid w:val="007A2E36"/>
    <w:rsid w:val="007A6621"/>
    <w:rsid w:val="007B33F1"/>
    <w:rsid w:val="007B6DDA"/>
    <w:rsid w:val="007B71F8"/>
    <w:rsid w:val="007C0308"/>
    <w:rsid w:val="007C2014"/>
    <w:rsid w:val="007C2FF2"/>
    <w:rsid w:val="007D6232"/>
    <w:rsid w:val="007E0B89"/>
    <w:rsid w:val="007E189A"/>
    <w:rsid w:val="007F1F99"/>
    <w:rsid w:val="007F768F"/>
    <w:rsid w:val="00800AA3"/>
    <w:rsid w:val="00805CFE"/>
    <w:rsid w:val="0080791D"/>
    <w:rsid w:val="008147B5"/>
    <w:rsid w:val="00835BEA"/>
    <w:rsid w:val="00836367"/>
    <w:rsid w:val="00846D18"/>
    <w:rsid w:val="00847DEF"/>
    <w:rsid w:val="008544F7"/>
    <w:rsid w:val="0086659D"/>
    <w:rsid w:val="00873603"/>
    <w:rsid w:val="008813B9"/>
    <w:rsid w:val="00881567"/>
    <w:rsid w:val="008A2C7D"/>
    <w:rsid w:val="008A2E52"/>
    <w:rsid w:val="008A57AF"/>
    <w:rsid w:val="008A6A05"/>
    <w:rsid w:val="008B6524"/>
    <w:rsid w:val="008C4B23"/>
    <w:rsid w:val="008D2057"/>
    <w:rsid w:val="008D35A9"/>
    <w:rsid w:val="008E4C10"/>
    <w:rsid w:val="008F4672"/>
    <w:rsid w:val="008F6E2C"/>
    <w:rsid w:val="009303D9"/>
    <w:rsid w:val="00933C64"/>
    <w:rsid w:val="00961DEB"/>
    <w:rsid w:val="00970004"/>
    <w:rsid w:val="009702E5"/>
    <w:rsid w:val="00972203"/>
    <w:rsid w:val="00974BE7"/>
    <w:rsid w:val="009B14BB"/>
    <w:rsid w:val="009B3678"/>
    <w:rsid w:val="009D3610"/>
    <w:rsid w:val="009E3560"/>
    <w:rsid w:val="009F1D79"/>
    <w:rsid w:val="00A059B3"/>
    <w:rsid w:val="00A10B79"/>
    <w:rsid w:val="00A120DF"/>
    <w:rsid w:val="00A21EFB"/>
    <w:rsid w:val="00A449F7"/>
    <w:rsid w:val="00A6799F"/>
    <w:rsid w:val="00A7176F"/>
    <w:rsid w:val="00A84793"/>
    <w:rsid w:val="00AA35F3"/>
    <w:rsid w:val="00AA7E47"/>
    <w:rsid w:val="00AA7F85"/>
    <w:rsid w:val="00AD5DD6"/>
    <w:rsid w:val="00AE3409"/>
    <w:rsid w:val="00B11A60"/>
    <w:rsid w:val="00B22613"/>
    <w:rsid w:val="00B23765"/>
    <w:rsid w:val="00B2798E"/>
    <w:rsid w:val="00B41F2F"/>
    <w:rsid w:val="00B42D24"/>
    <w:rsid w:val="00B44A76"/>
    <w:rsid w:val="00B751E9"/>
    <w:rsid w:val="00B768D1"/>
    <w:rsid w:val="00B92711"/>
    <w:rsid w:val="00BA1025"/>
    <w:rsid w:val="00BA6CF3"/>
    <w:rsid w:val="00BC0165"/>
    <w:rsid w:val="00BC3420"/>
    <w:rsid w:val="00BD1ABD"/>
    <w:rsid w:val="00BD670B"/>
    <w:rsid w:val="00BE7ABA"/>
    <w:rsid w:val="00BE7D3C"/>
    <w:rsid w:val="00BF5FF6"/>
    <w:rsid w:val="00BF6A37"/>
    <w:rsid w:val="00C01BFF"/>
    <w:rsid w:val="00C0207F"/>
    <w:rsid w:val="00C069E4"/>
    <w:rsid w:val="00C16117"/>
    <w:rsid w:val="00C3075A"/>
    <w:rsid w:val="00C313B9"/>
    <w:rsid w:val="00C32059"/>
    <w:rsid w:val="00C4587F"/>
    <w:rsid w:val="00C5422D"/>
    <w:rsid w:val="00C552DB"/>
    <w:rsid w:val="00C61474"/>
    <w:rsid w:val="00C61C1C"/>
    <w:rsid w:val="00C65370"/>
    <w:rsid w:val="00C90962"/>
    <w:rsid w:val="00C919A4"/>
    <w:rsid w:val="00C9225D"/>
    <w:rsid w:val="00C9636C"/>
    <w:rsid w:val="00C969CD"/>
    <w:rsid w:val="00CA3078"/>
    <w:rsid w:val="00CA4392"/>
    <w:rsid w:val="00CA6C26"/>
    <w:rsid w:val="00CA7AC0"/>
    <w:rsid w:val="00CC393F"/>
    <w:rsid w:val="00CC40D1"/>
    <w:rsid w:val="00CD299C"/>
    <w:rsid w:val="00CD47B3"/>
    <w:rsid w:val="00CE0139"/>
    <w:rsid w:val="00D209B9"/>
    <w:rsid w:val="00D2176E"/>
    <w:rsid w:val="00D4443B"/>
    <w:rsid w:val="00D54936"/>
    <w:rsid w:val="00D554F3"/>
    <w:rsid w:val="00D606D5"/>
    <w:rsid w:val="00D632BE"/>
    <w:rsid w:val="00D72D06"/>
    <w:rsid w:val="00D7522C"/>
    <w:rsid w:val="00D7536F"/>
    <w:rsid w:val="00D76668"/>
    <w:rsid w:val="00D83FAF"/>
    <w:rsid w:val="00D97970"/>
    <w:rsid w:val="00DA34D4"/>
    <w:rsid w:val="00DB0E7C"/>
    <w:rsid w:val="00DC2598"/>
    <w:rsid w:val="00DC6A5D"/>
    <w:rsid w:val="00DD0671"/>
    <w:rsid w:val="00DF185E"/>
    <w:rsid w:val="00DF2299"/>
    <w:rsid w:val="00E038EB"/>
    <w:rsid w:val="00E0432C"/>
    <w:rsid w:val="00E05A42"/>
    <w:rsid w:val="00E07383"/>
    <w:rsid w:val="00E165BC"/>
    <w:rsid w:val="00E3564D"/>
    <w:rsid w:val="00E36971"/>
    <w:rsid w:val="00E50FAA"/>
    <w:rsid w:val="00E51BEF"/>
    <w:rsid w:val="00E5662A"/>
    <w:rsid w:val="00E60DEC"/>
    <w:rsid w:val="00E61E12"/>
    <w:rsid w:val="00E7596C"/>
    <w:rsid w:val="00E75FA9"/>
    <w:rsid w:val="00E878F2"/>
    <w:rsid w:val="00EA41BA"/>
    <w:rsid w:val="00EC0C55"/>
    <w:rsid w:val="00EC62A1"/>
    <w:rsid w:val="00ED0149"/>
    <w:rsid w:val="00EE45EE"/>
    <w:rsid w:val="00EF7DE3"/>
    <w:rsid w:val="00F02670"/>
    <w:rsid w:val="00F03103"/>
    <w:rsid w:val="00F20B01"/>
    <w:rsid w:val="00F23255"/>
    <w:rsid w:val="00F271DE"/>
    <w:rsid w:val="00F34CB1"/>
    <w:rsid w:val="00F51E48"/>
    <w:rsid w:val="00F56A3B"/>
    <w:rsid w:val="00F627DA"/>
    <w:rsid w:val="00F649AE"/>
    <w:rsid w:val="00F70552"/>
    <w:rsid w:val="00F7288F"/>
    <w:rsid w:val="00F76C31"/>
    <w:rsid w:val="00F830B2"/>
    <w:rsid w:val="00F84119"/>
    <w:rsid w:val="00F847A6"/>
    <w:rsid w:val="00F9441B"/>
    <w:rsid w:val="00FA4454"/>
    <w:rsid w:val="00FA4C32"/>
    <w:rsid w:val="00FA6796"/>
    <w:rsid w:val="00FA77FD"/>
    <w:rsid w:val="00FB1F29"/>
    <w:rsid w:val="00FB62B1"/>
    <w:rsid w:val="00FB7C46"/>
    <w:rsid w:val="00FE7114"/>
    <w:rsid w:val="00FE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5FC7D30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rsid w:val="001A3B3D"/>
  </w:style>
  <w:style w:type="paragraph" w:styleId="Footer">
    <w:name w:val="footer"/>
    <w:basedOn w:val="Normal"/>
    <w:link w:val="FooterChar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rsid w:val="001A3B3D"/>
  </w:style>
  <w:style w:type="paragraph" w:customStyle="1" w:styleId="AbstractEnglish">
    <w:name w:val="Abstract (English) +"/>
    <w:basedOn w:val="Normal"/>
    <w:rsid w:val="00337B7B"/>
    <w:pPr>
      <w:spacing w:before="9pt" w:after="9pt"/>
      <w:jc w:val="lowKashida"/>
    </w:pPr>
    <w:rPr>
      <w:rFonts w:ascii="Times New Roman Bold" w:eastAsia="Times New Roman" w:hAnsi="Times New Roman Bold" w:cs="B Nazanin"/>
      <w:b/>
      <w:bCs/>
      <w:szCs w:val="22"/>
    </w:rPr>
  </w:style>
  <w:style w:type="character" w:styleId="CommentReference">
    <w:name w:val="annotation reference"/>
    <w:basedOn w:val="DefaultParagraphFont"/>
    <w:rsid w:val="00FA6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6796"/>
  </w:style>
  <w:style w:type="character" w:customStyle="1" w:styleId="CommentTextChar">
    <w:name w:val="Comment Text Char"/>
    <w:basedOn w:val="DefaultParagraphFont"/>
    <w:link w:val="CommentText"/>
    <w:rsid w:val="00FA6796"/>
  </w:style>
  <w:style w:type="paragraph" w:styleId="CommentSubject">
    <w:name w:val="annotation subject"/>
    <w:basedOn w:val="CommentText"/>
    <w:next w:val="CommentText"/>
    <w:link w:val="CommentSubjectChar"/>
    <w:rsid w:val="00FA6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6796"/>
    <w:rPr>
      <w:b/>
      <w:bCs/>
    </w:rPr>
  </w:style>
  <w:style w:type="paragraph" w:styleId="BalloonText">
    <w:name w:val="Balloon Text"/>
    <w:basedOn w:val="Normal"/>
    <w:link w:val="BalloonTextChar"/>
    <w:rsid w:val="00FA67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A679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20224B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10B79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start="57.60pt" w:end="57.60pt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character" w:styleId="Emphasis">
    <w:name w:val="Emphasis"/>
    <w:basedOn w:val="DefaultParagraphFont"/>
    <w:uiPriority w:val="20"/>
    <w:qFormat/>
    <w:rsid w:val="005E7B28"/>
    <w:rPr>
      <w:i/>
      <w:iCs/>
    </w:rPr>
  </w:style>
  <w:style w:type="character" w:styleId="Hyperlink">
    <w:name w:val="Hyperlink"/>
    <w:basedOn w:val="DefaultParagraphFont"/>
    <w:uiPriority w:val="99"/>
    <w:unhideWhenUsed/>
    <w:rsid w:val="005858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400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D3610"/>
    <w:pPr>
      <w:spacing w:after="8pt" w:line="12.95pt" w:lineRule="auto"/>
      <w:ind w:start="36pt"/>
      <w:contextualSpacing/>
      <w:jc w:val="star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purl.oclc.org/ooxml/officeDocument/relationships/image" Target="media/image3.wmf"/><Relationship Id="rId18" Type="http://purl.oclc.org/ooxml/officeDocument/relationships/image" Target="media/image6.wmf"/><Relationship Id="rId26" Type="http://purl.oclc.org/ooxml/officeDocument/relationships/oleObject" Target="embeddings/oleObject6.bin"/><Relationship Id="rId39" Type="http://purl.oclc.org/ooxml/officeDocument/relationships/image" Target="media/image21.wmf"/><Relationship Id="rId21" Type="http://purl.oclc.org/ooxml/officeDocument/relationships/image" Target="media/image8.wmf"/><Relationship Id="rId34" Type="http://purl.oclc.org/ooxml/officeDocument/relationships/image" Target="media/image17.png"/><Relationship Id="rId42" Type="http://purl.oclc.org/ooxml/officeDocument/relationships/image" Target="media/image23.wmf"/><Relationship Id="rId47" Type="http://purl.oclc.org/ooxml/officeDocument/relationships/image" Target="media/image27.emf"/><Relationship Id="rId50" Type="http://purl.oclc.org/ooxml/officeDocument/relationships/image" Target="media/image30.emf"/><Relationship Id="rId55" Type="http://purl.oclc.org/ooxml/officeDocument/relationships/fontTable" Target="fontTable.xml"/><Relationship Id="rId7" Type="http://purl.oclc.org/ooxml/officeDocument/relationships/endnotes" Target="endnotes.xml"/><Relationship Id="rId2" Type="http://purl.oclc.org/ooxml/officeDocument/relationships/numbering" Target="numbering.xml"/><Relationship Id="rId16" Type="http://purl.oclc.org/ooxml/officeDocument/relationships/image" Target="media/image5.wmf"/><Relationship Id="rId29" Type="http://purl.oclc.org/ooxml/officeDocument/relationships/oleObject" Target="embeddings/oleObject7.bin"/><Relationship Id="rId11" Type="http://purl.oclc.org/ooxml/officeDocument/relationships/oleObject" Target="embeddings/oleObject1.bin"/><Relationship Id="rId24" Type="http://purl.oclc.org/ooxml/officeDocument/relationships/image" Target="media/image10.wmf"/><Relationship Id="rId32" Type="http://purl.oclc.org/ooxml/officeDocument/relationships/oleObject" Target="embeddings/oleObject8.bin"/><Relationship Id="rId37" Type="http://purl.oclc.org/ooxml/officeDocument/relationships/image" Target="media/image20.wmf"/><Relationship Id="rId40" Type="http://purl.oclc.org/ooxml/officeDocument/relationships/image" Target="media/image22.wmf"/><Relationship Id="rId45" Type="http://purl.oclc.org/ooxml/officeDocument/relationships/image" Target="media/image25.wmf"/><Relationship Id="rId53" Type="http://purl.oclc.org/ooxml/officeDocument/relationships/image" Target="media/image32.wmf"/><Relationship Id="rId5" Type="http://purl.oclc.org/ooxml/officeDocument/relationships/webSettings" Target="webSettings.xml"/><Relationship Id="rId10" Type="http://purl.oclc.org/ooxml/officeDocument/relationships/image" Target="media/image1.wmf"/><Relationship Id="rId19" Type="http://purl.oclc.org/ooxml/officeDocument/relationships/image" Target="media/image7.wmf"/><Relationship Id="rId31" Type="http://purl.oclc.org/ooxml/officeDocument/relationships/image" Target="media/image15.wmf"/><Relationship Id="rId44" Type="http://purl.oclc.org/ooxml/officeDocument/relationships/oleObject" Target="embeddings/oleObject11.bin"/><Relationship Id="rId52" Type="http://purl.oclc.org/ooxml/officeDocument/relationships/oleObject" Target="embeddings/oleObject12.bin"/><Relationship Id="rId4" Type="http://purl.oclc.org/ooxml/officeDocument/relationships/settings" Target="settings.xml"/><Relationship Id="rId9" Type="http://purl.oclc.org/ooxml/officeDocument/relationships/hyperlink" Target="mailto:dastranj@yu.ac.ir" TargetMode="External"/><Relationship Id="rId14" Type="http://purl.oclc.org/ooxml/officeDocument/relationships/oleObject" Target="embeddings/oleObject2.bin"/><Relationship Id="rId22" Type="http://purl.oclc.org/ooxml/officeDocument/relationships/image" Target="media/image9.wmf"/><Relationship Id="rId27" Type="http://purl.oclc.org/ooxml/officeDocument/relationships/image" Target="media/image12.wmf"/><Relationship Id="rId30" Type="http://purl.oclc.org/ooxml/officeDocument/relationships/image" Target="media/image14.wmf"/><Relationship Id="rId35" Type="http://purl.oclc.org/ooxml/officeDocument/relationships/image" Target="media/image18.png"/><Relationship Id="rId43" Type="http://purl.oclc.org/ooxml/officeDocument/relationships/image" Target="media/image24.wmf"/><Relationship Id="rId48" Type="http://purl.oclc.org/ooxml/officeDocument/relationships/image" Target="media/image28.emf"/><Relationship Id="rId56" Type="http://purl.oclc.org/ooxml/officeDocument/relationships/theme" Target="theme/theme1.xml"/><Relationship Id="rId8" Type="http://purl.oclc.org/ooxml/officeDocument/relationships/footer" Target="footer1.xml"/><Relationship Id="rId51" Type="http://purl.oclc.org/ooxml/officeDocument/relationships/image" Target="media/image31.wmf"/><Relationship Id="rId3" Type="http://purl.oclc.org/ooxml/officeDocument/relationships/styles" Target="styles.xml"/><Relationship Id="rId12" Type="http://purl.oclc.org/ooxml/officeDocument/relationships/image" Target="media/image2.wmf"/><Relationship Id="rId17" Type="http://purl.oclc.org/ooxml/officeDocument/relationships/oleObject" Target="embeddings/oleObject3.bin"/><Relationship Id="rId25" Type="http://purl.oclc.org/ooxml/officeDocument/relationships/image" Target="media/image11.wmf"/><Relationship Id="rId33" Type="http://purl.oclc.org/ooxml/officeDocument/relationships/image" Target="media/image16.wmf"/><Relationship Id="rId38" Type="http://purl.oclc.org/ooxml/officeDocument/relationships/oleObject" Target="embeddings/oleObject9.bin"/><Relationship Id="rId46" Type="http://purl.oclc.org/ooxml/officeDocument/relationships/image" Target="media/image26.emf"/><Relationship Id="rId20" Type="http://purl.oclc.org/ooxml/officeDocument/relationships/oleObject" Target="embeddings/oleObject4.bin"/><Relationship Id="rId41" Type="http://purl.oclc.org/ooxml/officeDocument/relationships/oleObject" Target="embeddings/oleObject10.bin"/><Relationship Id="rId54" Type="http://purl.oclc.org/ooxml/officeDocument/relationships/image" Target="media/image33.emf"/><Relationship Id="rId1" Type="http://purl.oclc.org/ooxml/officeDocument/relationships/customXml" Target="../customXml/item1.xml"/><Relationship Id="rId6" Type="http://purl.oclc.org/ooxml/officeDocument/relationships/footnotes" Target="footnotes.xml"/><Relationship Id="rId15" Type="http://purl.oclc.org/ooxml/officeDocument/relationships/image" Target="media/image4.wmf"/><Relationship Id="rId23" Type="http://purl.oclc.org/ooxml/officeDocument/relationships/oleObject" Target="embeddings/oleObject5.bin"/><Relationship Id="rId28" Type="http://purl.oclc.org/ooxml/officeDocument/relationships/image" Target="media/image13.wmf"/><Relationship Id="rId36" Type="http://purl.oclc.org/ooxml/officeDocument/relationships/image" Target="media/image19.emf"/><Relationship Id="rId49" Type="http://purl.oclc.org/ooxml/officeDocument/relationships/image" Target="media/image29.emf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E11912EE-102B-451F-8159-1E6542FD037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2879</TotalTime>
  <Pages>5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sorena pc shop</cp:lastModifiedBy>
  <cp:revision>230</cp:revision>
  <cp:lastPrinted>2025-11-24T07:07:00Z</cp:lastPrinted>
  <dcterms:created xsi:type="dcterms:W3CDTF">2024-07-16T13:42:00Z</dcterms:created>
  <dcterms:modified xsi:type="dcterms:W3CDTF">2025-12-11T18:09:00Z</dcterms:modified>
</cp:coreProperties>
</file>